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overflowPunct w:val="0"/>
        <w:ind w:left="0" w:leftChars="0" w:firstLine="0" w:firstLineChars="0"/>
        <w:jc w:val="center"/>
        <w:rPr>
          <w:rFonts w:ascii="黑体" w:hAnsi="黑体" w:eastAsia="黑体"/>
          <w:b/>
          <w:sz w:val="36"/>
          <w:szCs w:val="36"/>
        </w:rPr>
      </w:pPr>
      <w:r>
        <w:rPr>
          <w:rFonts w:hint="eastAsia" w:ascii="黑体" w:hAnsi="黑体" w:eastAsia="黑体"/>
          <w:b/>
          <w:sz w:val="36"/>
          <w:szCs w:val="36"/>
          <w:lang w:val="en-US" w:eastAsia="zh-CN"/>
        </w:rPr>
        <w:t>绍兴市中等专业学校药剂</w:t>
      </w:r>
      <w:r>
        <w:rPr>
          <w:rFonts w:hint="eastAsia" w:ascii="黑体" w:hAnsi="黑体" w:eastAsia="黑体"/>
          <w:b/>
          <w:sz w:val="36"/>
          <w:szCs w:val="36"/>
        </w:rPr>
        <w:t>专</w:t>
      </w:r>
      <w:r>
        <w:rPr>
          <w:rFonts w:ascii="黑体" w:hAnsi="黑体" w:eastAsia="黑体"/>
          <w:b/>
          <w:sz w:val="36"/>
          <w:szCs w:val="36"/>
        </w:rPr>
        <w:t>业人才培养方案</w:t>
      </w:r>
    </w:p>
    <w:p>
      <w:pPr>
        <w:pStyle w:val="71"/>
        <w:ind w:left="0" w:leftChars="0" w:firstLine="0" w:firstLineChars="0"/>
      </w:pPr>
      <w:bookmarkStart w:id="0" w:name="_Toc17537276"/>
      <w:r>
        <w:t>一、专业名称及代码</w:t>
      </w:r>
      <w:bookmarkEnd w:id="0"/>
    </w:p>
    <w:p>
      <w:pPr>
        <w:overflowPunct w:val="0"/>
        <w:adjustRightInd w:val="0"/>
        <w:spacing w:line="360" w:lineRule="auto"/>
        <w:ind w:firstLine="560" w:firstLineChars="200"/>
        <w:rPr>
          <w:rFonts w:hint="default" w:ascii="宋体" w:hAnsi="宋体" w:eastAsia="宋体" w:cs="宋体"/>
          <w:szCs w:val="28"/>
          <w:lang w:val="en-US" w:eastAsia="zh-CN"/>
        </w:rPr>
      </w:pPr>
      <w:r>
        <w:rPr>
          <w:rFonts w:hint="eastAsia" w:ascii="宋体" w:hAnsi="宋体" w:cs="宋体"/>
          <w:szCs w:val="28"/>
          <w:lang w:val="en-US" w:eastAsia="zh-CN"/>
        </w:rPr>
        <w:t>药剂</w:t>
      </w:r>
      <w:r>
        <w:rPr>
          <w:rFonts w:hint="eastAsia" w:ascii="宋体" w:hAnsi="宋体" w:cs="宋体"/>
          <w:szCs w:val="28"/>
          <w:lang w:eastAsia="zh-CN"/>
        </w:rPr>
        <w:t>（720301）</w:t>
      </w:r>
    </w:p>
    <w:p>
      <w:pPr>
        <w:pStyle w:val="71"/>
        <w:ind w:left="0" w:leftChars="0" w:firstLine="0" w:firstLineChars="0"/>
      </w:pPr>
      <w:bookmarkStart w:id="1" w:name="_Toc17537277"/>
      <w:r>
        <w:t>二、入学要求</w:t>
      </w:r>
      <w:bookmarkEnd w:id="1"/>
    </w:p>
    <w:p>
      <w:pPr>
        <w:ind w:firstLine="560"/>
      </w:pPr>
      <w:r>
        <w:rPr>
          <w:rFonts w:hint="eastAsia"/>
        </w:rPr>
        <w:t>初中毕业生或具有同等</w:t>
      </w:r>
      <w:r>
        <w:t>学历</w:t>
      </w:r>
      <w:r>
        <w:rPr>
          <w:rFonts w:hint="eastAsia"/>
        </w:rPr>
        <w:t>者。</w:t>
      </w:r>
    </w:p>
    <w:p>
      <w:pPr>
        <w:pStyle w:val="71"/>
        <w:ind w:left="0" w:leftChars="0" w:firstLine="0" w:firstLineChars="0"/>
      </w:pPr>
      <w:bookmarkStart w:id="2" w:name="_Toc17537278"/>
      <w:r>
        <w:t>三、修业年限</w:t>
      </w:r>
      <w:bookmarkEnd w:id="2"/>
    </w:p>
    <w:p>
      <w:pPr>
        <w:ind w:firstLine="560"/>
      </w:pPr>
      <w:r>
        <w:rPr>
          <w:rFonts w:hint="eastAsia"/>
          <w:lang w:eastAsia="zh-CN"/>
        </w:rPr>
        <w:t>三</w:t>
      </w:r>
      <w:r>
        <w:rPr>
          <w:rFonts w:hint="eastAsia"/>
        </w:rPr>
        <w:t>年。</w:t>
      </w:r>
    </w:p>
    <w:p>
      <w:pPr>
        <w:pStyle w:val="71"/>
        <w:ind w:left="0" w:leftChars="0" w:firstLine="0" w:firstLineChars="0"/>
      </w:pPr>
      <w:r>
        <w:t>四、职业面向</w:t>
      </w:r>
    </w:p>
    <w:p>
      <w:pPr>
        <w:ind w:firstLine="560"/>
        <w:rPr>
          <w:rFonts w:asciiTheme="minorEastAsia" w:hAnsiTheme="minorEastAsia" w:eastAsiaTheme="minorEastAsia"/>
        </w:rPr>
      </w:pPr>
      <w:r>
        <w:rPr>
          <w:rFonts w:hint="eastAsia" w:asciiTheme="minorEastAsia" w:hAnsiTheme="minorEastAsia" w:eastAsiaTheme="minorEastAsia"/>
        </w:rPr>
        <w:t>本专业职业面向如表1所示。</w:t>
      </w: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表1</w:t>
      </w:r>
      <w:r>
        <w:rPr>
          <w:rFonts w:hint="eastAsia"/>
          <w:sz w:val="24"/>
          <w:szCs w:val="24"/>
          <w:lang w:val="en-US" w:eastAsia="zh-CN"/>
        </w:rPr>
        <w:t xml:space="preserve">  </w:t>
      </w:r>
      <w:r>
        <w:rPr>
          <w:rFonts w:hint="eastAsia"/>
          <w:sz w:val="24"/>
          <w:szCs w:val="24"/>
        </w:rPr>
        <w:t>本专业职业面向</w:t>
      </w:r>
    </w:p>
    <w:tbl>
      <w:tblPr>
        <w:tblStyle w:val="22"/>
        <w:tblW w:w="9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4"/>
        <w:gridCol w:w="1007"/>
        <w:gridCol w:w="1741"/>
        <w:gridCol w:w="2200"/>
        <w:gridCol w:w="1933"/>
        <w:gridCol w:w="1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1074"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b/>
                <w:bCs/>
                <w:sz w:val="24"/>
                <w:szCs w:val="24"/>
              </w:rPr>
            </w:pPr>
            <w:r>
              <w:rPr>
                <w:rFonts w:hint="eastAsia"/>
                <w:b/>
                <w:bCs/>
                <w:sz w:val="24"/>
                <w:szCs w:val="24"/>
              </w:rPr>
              <w:t>专业</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b/>
                <w:bCs/>
                <w:sz w:val="24"/>
                <w:szCs w:val="24"/>
                <w:lang w:val="en-US" w:eastAsia="zh-CN"/>
              </w:rPr>
              <w:t>大</w:t>
            </w:r>
            <w:r>
              <w:rPr>
                <w:rFonts w:hint="eastAsia"/>
                <w:b/>
                <w:bCs/>
                <w:sz w:val="24"/>
                <w:szCs w:val="24"/>
              </w:rPr>
              <w:t>类</w:t>
            </w:r>
          </w:p>
        </w:tc>
        <w:tc>
          <w:tcPr>
            <w:tcW w:w="1007"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专业类</w:t>
            </w:r>
          </w:p>
        </w:tc>
        <w:tc>
          <w:tcPr>
            <w:tcW w:w="1741"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专业名称</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及代码</w:t>
            </w:r>
          </w:p>
        </w:tc>
        <w:tc>
          <w:tcPr>
            <w:tcW w:w="220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专业（技能）</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方向举例</w:t>
            </w:r>
          </w:p>
        </w:tc>
        <w:tc>
          <w:tcPr>
            <w:tcW w:w="1933"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对应职业（岗位）</w:t>
            </w:r>
          </w:p>
        </w:tc>
        <w:tc>
          <w:tcPr>
            <w:tcW w:w="1806"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bCs/>
                <w:sz w:val="24"/>
                <w:szCs w:val="24"/>
              </w:rPr>
            </w:pPr>
            <w:r>
              <w:rPr>
                <w:rFonts w:hint="eastAsia" w:ascii="宋体" w:hAnsi="宋体" w:cs="宋体"/>
                <w:b/>
                <w:bCs/>
                <w:sz w:val="24"/>
                <w:szCs w:val="24"/>
              </w:rPr>
              <w:t>职业资格</w:t>
            </w:r>
          </w:p>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eastAsia="方正仿宋简体"/>
                <w:b/>
                <w:bCs/>
                <w:sz w:val="24"/>
                <w:szCs w:val="24"/>
              </w:rPr>
            </w:pPr>
            <w:r>
              <w:rPr>
                <w:rFonts w:hint="eastAsia" w:ascii="宋体" w:hAnsi="宋体" w:cs="宋体"/>
                <w:b/>
                <w:bCs/>
                <w:sz w:val="24"/>
                <w:szCs w:val="24"/>
              </w:rPr>
              <w:t>证书举例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4" w:hRule="atLeast"/>
          <w:jc w:val="center"/>
        </w:trPr>
        <w:tc>
          <w:tcPr>
            <w:tcW w:w="1074"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4"/>
                <w:szCs w:val="24"/>
                <w:lang w:eastAsia="zh-CN"/>
              </w:rPr>
            </w:pPr>
            <w:r>
              <w:rPr>
                <w:rFonts w:hint="eastAsia" w:ascii="宋体" w:hAnsi="宋体" w:cs="宋体"/>
                <w:sz w:val="24"/>
                <w:szCs w:val="24"/>
                <w:lang w:eastAsia="zh-CN"/>
              </w:rPr>
              <w:t>医药卫生大类</w:t>
            </w:r>
          </w:p>
        </w:tc>
        <w:tc>
          <w:tcPr>
            <w:tcW w:w="1007"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宋体"/>
                <w:sz w:val="24"/>
                <w:szCs w:val="24"/>
                <w:lang w:eastAsia="zh-CN"/>
              </w:rPr>
            </w:pPr>
            <w:r>
              <w:rPr>
                <w:rFonts w:hint="eastAsia" w:ascii="宋体" w:hAnsi="宋体" w:cs="宋体"/>
                <w:sz w:val="24"/>
                <w:szCs w:val="24"/>
                <w:lang w:eastAsia="zh-CN"/>
              </w:rPr>
              <w:t>药学</w:t>
            </w:r>
            <w:r>
              <w:rPr>
                <w:rFonts w:hint="eastAsia" w:ascii="宋体" w:hAnsi="宋体" w:eastAsia="宋体" w:cs="宋体"/>
                <w:sz w:val="24"/>
                <w:szCs w:val="24"/>
                <w:lang w:eastAsia="zh-CN"/>
              </w:rPr>
              <w:t>类</w:t>
            </w:r>
          </w:p>
        </w:tc>
        <w:tc>
          <w:tcPr>
            <w:tcW w:w="1741"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eastAsia="方正仿宋简体"/>
                <w:sz w:val="24"/>
                <w:szCs w:val="24"/>
                <w:lang w:val="en-US"/>
              </w:rPr>
            </w:pPr>
            <w:r>
              <w:rPr>
                <w:rFonts w:hint="eastAsia" w:ascii="宋体" w:hAnsi="宋体" w:cs="宋体"/>
                <w:sz w:val="24"/>
                <w:szCs w:val="24"/>
                <w:lang w:val="en-US" w:eastAsia="zh-CN"/>
              </w:rPr>
              <w:t>药剂720301</w:t>
            </w:r>
          </w:p>
        </w:tc>
        <w:tc>
          <w:tcPr>
            <w:tcW w:w="2200"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eastAsia" w:ascii="宋体" w:hAnsi="宋体" w:cs="宋体"/>
                <w:sz w:val="24"/>
                <w:szCs w:val="24"/>
                <w:lang w:val="en-US" w:eastAsia="zh-CN"/>
              </w:rPr>
              <w:t>药品生产、药物制剂技术、药品分析质量检验、中药鉴定、调剂</w:t>
            </w:r>
          </w:p>
        </w:tc>
        <w:tc>
          <w:tcPr>
            <w:tcW w:w="1933"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药品生产员</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药品检验员</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药品销售员</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t>药品调剂员</w:t>
            </w:r>
          </w:p>
        </w:tc>
        <w:tc>
          <w:tcPr>
            <w:tcW w:w="1806" w:type="dxa"/>
            <w:vAlign w:val="center"/>
          </w:tcPr>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eastAsia="宋体" w:cs="方正大标宋_GBK" w:asciiTheme="minorEastAsia" w:hAnsiTheme="minorEastAsia"/>
                <w:color w:val="000000" w:themeColor="text1"/>
                <w:sz w:val="24"/>
                <w:szCs w:val="24"/>
                <w:lang w:val="en-US" w:eastAsia="zh-CN"/>
                <w14:textFill>
                  <w14:solidFill>
                    <w14:schemeClr w14:val="tx1"/>
                  </w14:solidFill>
                </w14:textFill>
              </w:rPr>
            </w:pPr>
            <w:r>
              <w:rPr>
                <w:rFonts w:hint="default" w:eastAsia="宋体" w:cs="方正大标宋_GBK" w:asciiTheme="minorEastAsia" w:hAnsiTheme="minorEastAsia"/>
                <w:color w:val="000000" w:themeColor="text1"/>
                <w:sz w:val="24"/>
                <w:szCs w:val="24"/>
                <w:lang w:val="en-US" w:eastAsia="zh-CN"/>
                <w14:textFill>
                  <w14:solidFill>
                    <w14:schemeClr w14:val="tx1"/>
                  </w14:solidFill>
                </w14:textFill>
              </w:rPr>
              <w:t>职业资格证书：执业药师、药物制剂工；</w:t>
            </w:r>
          </w:p>
          <w:p>
            <w:pPr>
              <w:keepNext w:val="0"/>
              <w:keepLines w:val="0"/>
              <w:pageBreakBefore w:val="0"/>
              <w:widowControl w:val="0"/>
              <w:kinsoku/>
              <w:wordWrap/>
              <w:overflowPunct w:val="0"/>
              <w:topLinePunct w:val="0"/>
              <w:autoSpaceDE/>
              <w:autoSpaceDN/>
              <w:bidi w:val="0"/>
              <w:adjustRightInd w:val="0"/>
              <w:snapToGrid w:val="0"/>
              <w:spacing w:line="240" w:lineRule="auto"/>
              <w:ind w:left="0" w:leftChars="0" w:firstLine="0" w:firstLineChars="0"/>
              <w:jc w:val="center"/>
              <w:textAlignment w:val="auto"/>
              <w:rPr>
                <w:rFonts w:hint="default" w:eastAsia="宋体" w:cs="方正大标宋_GBK" w:asciiTheme="minorEastAsia" w:hAnsiTheme="minorEastAsia"/>
                <w:color w:val="000000" w:themeColor="text1"/>
                <w:sz w:val="24"/>
                <w:szCs w:val="24"/>
                <w:lang w:val="en-US" w:eastAsia="zh-CN"/>
                <w14:textFill>
                  <w14:solidFill>
                    <w14:schemeClr w14:val="tx1"/>
                  </w14:solidFill>
                </w14:textFill>
              </w:rPr>
            </w:pPr>
            <w:r>
              <w:rPr>
                <w:rFonts w:hint="default" w:eastAsia="宋体" w:cs="方正大标宋_GBK" w:asciiTheme="minorEastAsia" w:hAnsiTheme="minorEastAsia"/>
                <w:color w:val="000000" w:themeColor="text1"/>
                <w:sz w:val="24"/>
                <w:szCs w:val="24"/>
                <w:lang w:val="en-US" w:eastAsia="zh-CN"/>
                <w14:textFill>
                  <w14:solidFill>
                    <w14:schemeClr w14:val="tx1"/>
                  </w14:solidFill>
                </w14:textFill>
              </w:rPr>
              <w:t>行业企业标准和证书：中药调剂员。</w:t>
            </w:r>
          </w:p>
        </w:tc>
      </w:tr>
    </w:tbl>
    <w:p>
      <w:r>
        <w:rPr>
          <w:rFonts w:hint="eastAsia"/>
        </w:rPr>
        <w:t>其中各种技能证书考核安排如表2所示。</w:t>
      </w:r>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表2各种技能证书考核安排</w:t>
      </w:r>
    </w:p>
    <w:tbl>
      <w:tblPr>
        <w:tblStyle w:val="2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3545"/>
        <w:gridCol w:w="1080"/>
        <w:gridCol w:w="1703"/>
        <w:gridCol w:w="692"/>
        <w:gridCol w:w="810"/>
        <w:gridCol w:w="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bookmarkStart w:id="3" w:name="_Hlk9199653"/>
            <w:r>
              <w:rPr>
                <w:rFonts w:hint="eastAsia"/>
                <w:b/>
                <w:bCs/>
              </w:rPr>
              <w:t>序号</w:t>
            </w:r>
          </w:p>
        </w:tc>
        <w:tc>
          <w:tcPr>
            <w:tcW w:w="3545"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考核项目</w:t>
            </w:r>
          </w:p>
        </w:tc>
        <w:tc>
          <w:tcPr>
            <w:tcW w:w="1080"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等级要求</w:t>
            </w:r>
          </w:p>
        </w:tc>
        <w:tc>
          <w:tcPr>
            <w:tcW w:w="1703"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考核学期</w:t>
            </w:r>
          </w:p>
        </w:tc>
        <w:tc>
          <w:tcPr>
            <w:tcW w:w="1502" w:type="dxa"/>
            <w:gridSpan w:val="2"/>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类型</w:t>
            </w:r>
          </w:p>
        </w:tc>
        <w:tc>
          <w:tcPr>
            <w:tcW w:w="669" w:type="dxa"/>
            <w:vMerge w:val="restart"/>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学分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80"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3545"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1080"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1703"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textAlignment w:val="auto"/>
            </w:pPr>
          </w:p>
        </w:tc>
        <w:tc>
          <w:tcPr>
            <w:tcW w:w="692"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必考</w:t>
            </w:r>
          </w:p>
        </w:tc>
        <w:tc>
          <w:tcPr>
            <w:tcW w:w="81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bCs/>
              </w:rPr>
            </w:pPr>
            <w:r>
              <w:rPr>
                <w:rFonts w:hint="eastAsia"/>
                <w:b/>
                <w:bCs/>
              </w:rPr>
              <w:t>选考</w:t>
            </w:r>
          </w:p>
        </w:tc>
        <w:tc>
          <w:tcPr>
            <w:tcW w:w="669" w:type="dxa"/>
            <w:vMerge w:val="continue"/>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rPr>
              <w:t>1</w:t>
            </w:r>
          </w:p>
        </w:tc>
        <w:tc>
          <w:tcPr>
            <w:tcW w:w="3545"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ascii="宋体" w:hAnsi="宋体" w:eastAsia="宋体" w:cs="宋体"/>
                <w:sz w:val="21"/>
                <w:szCs w:val="21"/>
              </w:rPr>
              <w:t>计算机等级证书</w:t>
            </w:r>
          </w:p>
        </w:tc>
        <w:tc>
          <w:tcPr>
            <w:tcW w:w="10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初级</w:t>
            </w:r>
          </w:p>
        </w:tc>
        <w:tc>
          <w:tcPr>
            <w:tcW w:w="1703"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1</w:t>
            </w:r>
          </w:p>
        </w:tc>
        <w:tc>
          <w:tcPr>
            <w:tcW w:w="692"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eastAsia="zh-CN"/>
              </w:rPr>
            </w:pPr>
            <w:r>
              <w:rPr>
                <w:rFonts w:hint="eastAsia"/>
                <w:lang w:eastAsia="zh-CN"/>
              </w:rPr>
              <w:t>√</w:t>
            </w:r>
          </w:p>
        </w:tc>
        <w:tc>
          <w:tcPr>
            <w:tcW w:w="81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p>
        </w:tc>
        <w:tc>
          <w:tcPr>
            <w:tcW w:w="669"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r>
              <w:rPr>
                <w:rFonts w:hint="eastAsia"/>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eastAsia="宋体"/>
                <w:lang w:val="en-US" w:eastAsia="zh-CN"/>
              </w:rPr>
            </w:pPr>
            <w:bookmarkStart w:id="4" w:name="_Toc17537281"/>
            <w:r>
              <w:rPr>
                <w:rFonts w:hint="eastAsia"/>
                <w:lang w:val="en-US" w:eastAsia="zh-CN"/>
              </w:rPr>
              <w:t>2</w:t>
            </w:r>
          </w:p>
        </w:tc>
        <w:tc>
          <w:tcPr>
            <w:tcW w:w="3545"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sz w:val="21"/>
                <w:szCs w:val="21"/>
                <w:lang w:eastAsia="zh-CN"/>
              </w:rPr>
            </w:pPr>
            <w:r>
              <w:rPr>
                <w:rFonts w:hint="eastAsia" w:ascii="宋体" w:hAnsi="宋体" w:cs="宋体"/>
                <w:sz w:val="21"/>
                <w:szCs w:val="21"/>
                <w:lang w:eastAsia="zh-CN"/>
              </w:rPr>
              <w:t>分析检验工</w:t>
            </w:r>
          </w:p>
        </w:tc>
        <w:tc>
          <w:tcPr>
            <w:tcW w:w="108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r>
              <w:rPr>
                <w:rFonts w:hint="eastAsia"/>
                <w:lang w:eastAsia="zh-CN"/>
              </w:rPr>
              <w:t>中级</w:t>
            </w:r>
          </w:p>
        </w:tc>
        <w:tc>
          <w:tcPr>
            <w:tcW w:w="1703"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5</w:t>
            </w:r>
          </w:p>
        </w:tc>
        <w:tc>
          <w:tcPr>
            <w:tcW w:w="692"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lang w:eastAsia="zh-CN"/>
              </w:rPr>
            </w:pPr>
          </w:p>
        </w:tc>
        <w:tc>
          <w:tcPr>
            <w:tcW w:w="810"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pPr>
            <w:r>
              <w:rPr>
                <w:rFonts w:hint="eastAsia"/>
                <w:lang w:eastAsia="zh-CN"/>
              </w:rPr>
              <w:t>√</w:t>
            </w:r>
          </w:p>
        </w:tc>
        <w:tc>
          <w:tcPr>
            <w:tcW w:w="669" w:type="dxa"/>
            <w:vAlign w:val="center"/>
          </w:tcPr>
          <w:p>
            <w:pPr>
              <w:pStyle w:val="52"/>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lang w:val="en-US" w:eastAsia="zh-CN"/>
              </w:rPr>
            </w:pPr>
            <w:r>
              <w:rPr>
                <w:rFonts w:hint="eastAsia"/>
                <w:lang w:val="en-US" w:eastAsia="zh-CN"/>
              </w:rPr>
              <w:t>2</w:t>
            </w:r>
          </w:p>
        </w:tc>
      </w:tr>
      <w:bookmarkEnd w:id="3"/>
    </w:tbl>
    <w:p>
      <w:pPr>
        <w:pStyle w:val="71"/>
        <w:ind w:left="0" w:leftChars="0" w:firstLine="0" w:firstLineChars="0"/>
      </w:pPr>
    </w:p>
    <w:p>
      <w:pPr>
        <w:pStyle w:val="71"/>
        <w:ind w:left="0" w:leftChars="0" w:firstLine="0" w:firstLineChars="0"/>
      </w:pPr>
      <w:r>
        <w:t>五、培养目标与培养规格</w:t>
      </w:r>
      <w:bookmarkEnd w:id="4"/>
    </w:p>
    <w:p>
      <w:pPr>
        <w:pStyle w:val="46"/>
        <w:ind w:firstLine="562"/>
      </w:pPr>
      <w:bookmarkStart w:id="5" w:name="_Toc17537282"/>
      <w:r>
        <w:t>（一）培养目标</w:t>
      </w:r>
      <w:bookmarkEnd w:id="5"/>
    </w:p>
    <w:p>
      <w:pPr>
        <w:rPr>
          <w:rFonts w:hint="eastAsia" w:eastAsia="宋体"/>
          <w:lang w:eastAsia="zh-CN"/>
        </w:rPr>
      </w:pPr>
      <w:r>
        <w:rPr>
          <w:rFonts w:hint="eastAsia" w:ascii="宋体" w:hAnsi="宋体" w:eastAsia="宋体" w:cs="宋体"/>
          <w:sz w:val="28"/>
          <w:szCs w:val="28"/>
        </w:rPr>
        <w:t>本专业培养理想信念鉴坚定，德、智、体、美、劳全面发展，具有一定的科学文化水平，良好的人文素养、职业道德和创新意识，精益求精的工匠精神，较强的就业能力、法律意识和可持续发展的能力；掌握本专业知识和技术技能，面向医院（乡镇卫生院）药房、医药公司、制药企业、社会药房等单位，能够从事药品生产、质量检验、经营、药学服务等工作的高素质技术技能人才</w:t>
      </w:r>
      <w:r>
        <w:rPr>
          <w:rFonts w:hint="eastAsia" w:ascii="宋体" w:hAnsi="宋体" w:cs="宋体"/>
          <w:sz w:val="28"/>
          <w:szCs w:val="28"/>
          <w:lang w:eastAsia="zh-CN"/>
        </w:rPr>
        <w:t>。</w:t>
      </w:r>
    </w:p>
    <w:p>
      <w:pPr>
        <w:pStyle w:val="46"/>
        <w:ind w:firstLine="562"/>
      </w:pPr>
      <w:bookmarkStart w:id="6" w:name="_Toc17537283"/>
      <w:r>
        <w:t>（二）培养规格</w:t>
      </w:r>
      <w:bookmarkEnd w:id="6"/>
    </w:p>
    <w:p>
      <w:pPr>
        <w:pStyle w:val="50"/>
        <w:ind w:firstLine="562"/>
        <w:rPr>
          <w:rFonts w:hint="eastAsia"/>
        </w:rPr>
      </w:pPr>
      <w:r>
        <w:t>1.</w:t>
      </w:r>
      <w:r>
        <w:rPr>
          <w:rFonts w:hint="eastAsia"/>
        </w:rPr>
        <w:t>素质</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坚定拥护中国共产党领导和我国社会主义制度，在习近平新时代中国特色社会主义思想的指引下，践行社会主义核心价值观，具有深厚的爱国情感和中华民族自豪感。</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崇尚宪法、遵法守纪、崇德向善、诚实守信、尊重生命、热爱劳动，履行道德准则和行为规范，具有社会责任感和社会参与意识。</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具有质量意识、环保意识、安全意识、信息素养、工匠精神、创新思维。</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勇于奋斗、乐观向上，具有自我管理能力、职业生涯规划的意识，有较强的集体意识和团队合作精神。</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具有健康的体魄、心理和健全的人格，掌握基本运动知识和1-2项运动技能，养成良好的健身与卫生习惯，良好的行为习惯。</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具有一定的审美和人文素养，能够形成1-2项艺术特长或爱好。</w:t>
      </w:r>
    </w:p>
    <w:p>
      <w:pPr>
        <w:numPr>
          <w:ilvl w:val="0"/>
          <w:numId w:val="1"/>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具有“遵纪守法，爱岗敬业，质量为本，真诚守信，急人所难，救死扶伤，文明经商，服务热情”的药学法律意识、职业道德及行为规范。</w:t>
      </w:r>
    </w:p>
    <w:p>
      <w:pPr>
        <w:pStyle w:val="50"/>
        <w:ind w:firstLine="562"/>
        <w:rPr>
          <w:rFonts w:hint="eastAsia"/>
        </w:rPr>
      </w:pPr>
      <w:r>
        <w:t>2.</w:t>
      </w:r>
      <w:r>
        <w:rPr>
          <w:rFonts w:hint="eastAsia"/>
        </w:rPr>
        <w:t>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掌握必备的思想政治理论、科学文化基础知识和中华优秀传统文化知识。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熟悉与本专业相关的法律法规以及环境保护、安全消防、文明生产等知识。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掌握国家有关药品管理法规的主要内容。</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掌握中药相关的鉴定、调剂和炮制等基础理论知识。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掌握常用药品的作用与用途、用法与用量，以及药品保管的具体要求。</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掌握药品质量检验技术工作所必需的分析化学、药物分析等基础理论知识。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掌握药品及其制剂生产工作所必需的药物制剂基础理论知识。</w:t>
      </w:r>
    </w:p>
    <w:p>
      <w:pPr>
        <w:numPr>
          <w:ilvl w:val="0"/>
          <w:numId w:val="2"/>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掌握生产车间常规设备操作方法及操作安全知识。</w:t>
      </w:r>
    </w:p>
    <w:p>
      <w:pPr>
        <w:pStyle w:val="50"/>
        <w:ind w:firstLine="562"/>
        <w:rPr>
          <w:rFonts w:hint="eastAsia"/>
        </w:rPr>
      </w:pPr>
      <w:r>
        <w:t>3.</w:t>
      </w:r>
      <w:r>
        <w:rPr>
          <w:rFonts w:hint="eastAsia"/>
        </w:rPr>
        <w:t>能力</w:t>
      </w:r>
      <w:bookmarkStart w:id="7" w:name="_Toc17537284"/>
    </w:p>
    <w:p>
      <w:pPr>
        <w:numPr>
          <w:ilvl w:val="0"/>
          <w:numId w:val="3"/>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具有探究学习、终身学习、分析问题和解决问题的能力。</w:t>
      </w:r>
    </w:p>
    <w:p>
      <w:pPr>
        <w:numPr>
          <w:ilvl w:val="0"/>
          <w:numId w:val="3"/>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具有良好的语言、文字表达能力和沟通能力。</w:t>
      </w:r>
    </w:p>
    <w:p>
      <w:pPr>
        <w:numPr>
          <w:ilvl w:val="0"/>
          <w:numId w:val="3"/>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具有本专业必需的信息技术应用和维护能力。</w:t>
      </w:r>
    </w:p>
    <w:p>
      <w:pPr>
        <w:numPr>
          <w:ilvl w:val="0"/>
          <w:numId w:val="3"/>
        </w:num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具有根据国家标准或行业标准选择合适的药品分析方法并严格贯彻执行操作规程完成药品质量检验工作的能力。</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（5）具有基于岗位要求和特点学习新知识和新技能，发现并报告影响产品质量潜在风险的能力。</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（6）具有安全用药的责任感和诚信的职业道德，能按照药事法规进行用药咨询、药品处方调配、指导合理用药服务的能力。</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（7）具有药品采购、销售、仓储及保管养护的能力；</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（8）具有按照标准操作流程对药品进行生产或质量检验的能力。</w:t>
      </w:r>
    </w:p>
    <w:p>
      <w:pPr>
        <w:pStyle w:val="71"/>
        <w:ind w:left="0" w:leftChars="0" w:firstLine="560" w:firstLineChars="200"/>
        <w:rPr>
          <w:rFonts w:hint="eastAsia" w:ascii="宋体" w:hAnsi="宋体" w:eastAsia="宋体" w:cs="宋体"/>
          <w:sz w:val="28"/>
          <w:szCs w:val="28"/>
        </w:rPr>
      </w:pPr>
      <w:r>
        <w:rPr>
          <w:rFonts w:hint="eastAsia" w:ascii="宋体" w:hAnsi="宋体" w:eastAsia="宋体" w:cs="宋体"/>
          <w:sz w:val="28"/>
          <w:szCs w:val="28"/>
        </w:rPr>
        <w:t>（9）具有对仪器、设备、工作环境等进行统筹处理的能力。</w:t>
      </w:r>
    </w:p>
    <w:p>
      <w:pPr>
        <w:pStyle w:val="71"/>
        <w:ind w:left="0" w:leftChars="0" w:firstLine="0" w:firstLineChars="0"/>
      </w:pPr>
      <w:r>
        <w:t>六、课程设置及要求</w:t>
      </w:r>
      <w:bookmarkEnd w:id="7"/>
    </w:p>
    <w:p>
      <w:pPr>
        <w:pStyle w:val="46"/>
        <w:ind w:firstLine="562"/>
      </w:pPr>
      <w:bookmarkStart w:id="8" w:name="_Toc17537285"/>
      <w:r>
        <w:t>（一）公共基础课程</w:t>
      </w:r>
      <w:bookmarkEnd w:id="8"/>
    </w:p>
    <w:p>
      <w:pPr>
        <w:rPr>
          <w:rFonts w:hint="eastAsia" w:ascii="宋体" w:hAnsi="宋体" w:eastAsia="宋体" w:cs="宋体"/>
          <w:sz w:val="28"/>
          <w:szCs w:val="28"/>
        </w:rPr>
      </w:pPr>
      <w:r>
        <w:rPr>
          <w:rFonts w:hint="eastAsia" w:ascii="宋体" w:hAnsi="宋体" w:eastAsia="宋体" w:cs="宋体"/>
          <w:sz w:val="28"/>
          <w:szCs w:val="28"/>
        </w:rPr>
        <w:t>公共基础课程根据《教育部关于职业院校专业人才培养方案制订与实施工作意见》教职成【2019】13号文件精神开设，将思想政治、语文、历史、数学、外语（英语等）、信息技术、体育与健康、艺术列入公共基础必修课程，各门课程的课程目标、主要内容和教学要求暂按教育部中等职业学校公共基础课教学大纲的规定与要求执行，待教育部公布新版公共基础课课程标准后调整执行。</w:t>
      </w:r>
      <w:bookmarkStart w:id="9" w:name="_Toc17537286"/>
    </w:p>
    <w:p>
      <w:pPr>
        <w:rPr>
          <w:rFonts w:ascii="Times New Roman" w:hAnsi="Times New Roman" w:eastAsia="宋体" w:cs="Times New Roman"/>
          <w:b/>
          <w:kern w:val="2"/>
          <w:sz w:val="28"/>
          <w:szCs w:val="32"/>
          <w:lang w:val="en-US" w:eastAsia="zh-CN" w:bidi="ar-SA"/>
        </w:rPr>
      </w:pPr>
      <w:r>
        <w:rPr>
          <w:rFonts w:ascii="Times New Roman" w:hAnsi="Times New Roman" w:eastAsia="宋体" w:cs="Times New Roman"/>
          <w:b/>
          <w:kern w:val="2"/>
          <w:sz w:val="28"/>
          <w:szCs w:val="32"/>
          <w:lang w:val="en-US" w:eastAsia="zh-CN" w:bidi="ar-SA"/>
        </w:rPr>
        <w:t>（二）专业（技能）课程</w:t>
      </w:r>
      <w:bookmarkEnd w:id="9"/>
    </w:p>
    <w:p>
      <w:pPr>
        <w:overflowPunct w:val="0"/>
        <w:ind w:firstLine="560"/>
        <w:rPr>
          <w:rFonts w:hint="eastAsia" w:ascii="宋体" w:hAnsi="宋体" w:cs="宋体"/>
        </w:rPr>
      </w:pPr>
      <w:r>
        <w:rPr>
          <w:rFonts w:hint="eastAsia" w:ascii="宋体" w:hAnsi="宋体" w:cs="宋体"/>
        </w:rPr>
        <w:t>本专业（技能）核心课程目标、主要内容和教学要求如下：</w:t>
      </w:r>
    </w:p>
    <w:tbl>
      <w:tblPr>
        <w:tblStyle w:val="22"/>
        <w:tblW w:w="10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071"/>
        <w:gridCol w:w="675"/>
        <w:gridCol w:w="625"/>
        <w:gridCol w:w="2538"/>
        <w:gridCol w:w="2437"/>
        <w:gridCol w:w="20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restart"/>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序号</w:t>
            </w:r>
          </w:p>
        </w:tc>
        <w:tc>
          <w:tcPr>
            <w:tcW w:w="1071" w:type="dxa"/>
            <w:vMerge w:val="restart"/>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课程名称</w:t>
            </w:r>
          </w:p>
        </w:tc>
        <w:tc>
          <w:tcPr>
            <w:tcW w:w="1300" w:type="dxa"/>
            <w:gridSpan w:val="2"/>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计划学时</w:t>
            </w:r>
          </w:p>
        </w:tc>
        <w:tc>
          <w:tcPr>
            <w:tcW w:w="2538" w:type="dxa"/>
            <w:vMerge w:val="restart"/>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教学目标</w:t>
            </w:r>
          </w:p>
        </w:tc>
        <w:tc>
          <w:tcPr>
            <w:tcW w:w="2437" w:type="dxa"/>
            <w:vMerge w:val="restart"/>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教学内容</w:t>
            </w:r>
          </w:p>
        </w:tc>
        <w:tc>
          <w:tcPr>
            <w:tcW w:w="2064" w:type="dxa"/>
            <w:vMerge w:val="restart"/>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教学模式</w:t>
            </w:r>
          </w:p>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方法手段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vMerge w:val="continue"/>
            <w:noWrap w:val="0"/>
            <w:vAlign w:val="top"/>
          </w:tcPr>
          <w:p>
            <w:pPr>
              <w:adjustRightInd/>
              <w:snapToGrid/>
              <w:spacing w:before="156" w:beforeLines="50" w:after="62" w:afterLines="20" w:line="240" w:lineRule="exact"/>
              <w:ind w:firstLine="0" w:firstLineChars="0"/>
              <w:rPr>
                <w:rFonts w:hint="eastAsia" w:ascii="Arial" w:hAnsi="Arial" w:eastAsia="宋体" w:cs="Arial"/>
                <w:b/>
                <w:sz w:val="18"/>
                <w:szCs w:val="18"/>
              </w:rPr>
            </w:pPr>
          </w:p>
        </w:tc>
        <w:tc>
          <w:tcPr>
            <w:tcW w:w="1071" w:type="dxa"/>
            <w:vMerge w:val="continue"/>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p>
        </w:tc>
        <w:tc>
          <w:tcPr>
            <w:tcW w:w="675" w:type="dxa"/>
            <w:noWrap w:val="0"/>
            <w:vAlign w:val="top"/>
          </w:tcPr>
          <w:p>
            <w:pPr>
              <w:adjustRightInd/>
              <w:snapToGrid/>
              <w:spacing w:before="156" w:beforeLines="50" w:after="62" w:afterLines="20" w:line="20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理论</w:t>
            </w:r>
          </w:p>
        </w:tc>
        <w:tc>
          <w:tcPr>
            <w:tcW w:w="625" w:type="dxa"/>
            <w:noWrap w:val="0"/>
            <w:vAlign w:val="top"/>
          </w:tcPr>
          <w:p>
            <w:pPr>
              <w:adjustRightInd/>
              <w:snapToGrid/>
              <w:spacing w:before="156" w:beforeLines="50" w:after="62" w:afterLines="20" w:line="200" w:lineRule="exact"/>
              <w:ind w:firstLine="0" w:firstLineChars="0"/>
              <w:jc w:val="center"/>
              <w:rPr>
                <w:rFonts w:hint="eastAsia" w:ascii="Arial" w:hAnsi="Arial" w:eastAsia="宋体" w:cs="Arial"/>
                <w:b/>
                <w:sz w:val="18"/>
                <w:szCs w:val="18"/>
              </w:rPr>
            </w:pPr>
            <w:r>
              <w:rPr>
                <w:rFonts w:hint="eastAsia" w:ascii="Arial" w:hAnsi="Arial" w:eastAsia="宋体" w:cs="Arial"/>
                <w:b/>
                <w:sz w:val="18"/>
                <w:szCs w:val="18"/>
              </w:rPr>
              <w:t>实践</w:t>
            </w:r>
          </w:p>
        </w:tc>
        <w:tc>
          <w:tcPr>
            <w:tcW w:w="2538" w:type="dxa"/>
            <w:vMerge w:val="continue"/>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p>
        </w:tc>
        <w:tc>
          <w:tcPr>
            <w:tcW w:w="2437" w:type="dxa"/>
            <w:vMerge w:val="continue"/>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p>
        </w:tc>
        <w:tc>
          <w:tcPr>
            <w:tcW w:w="2064" w:type="dxa"/>
            <w:vMerge w:val="continue"/>
            <w:noWrap w:val="0"/>
            <w:vAlign w:val="center"/>
          </w:tcPr>
          <w:p>
            <w:pPr>
              <w:adjustRightInd/>
              <w:snapToGrid/>
              <w:spacing w:before="156" w:beforeLines="50" w:after="62" w:afterLines="20" w:line="240" w:lineRule="exact"/>
              <w:ind w:firstLine="0" w:firstLineChars="0"/>
              <w:jc w:val="center"/>
              <w:rPr>
                <w:rFonts w:hint="eastAsia" w:ascii="Arial" w:hAnsi="Arial" w:eastAsia="宋体" w:cs="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t>1</w:t>
            </w:r>
          </w:p>
        </w:tc>
        <w:tc>
          <w:tcPr>
            <w:tcW w:w="10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化学基础</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200</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0</w:t>
            </w:r>
          </w:p>
        </w:tc>
        <w:tc>
          <w:tcPr>
            <w:tcW w:w="2538" w:type="dxa"/>
            <w:noWrap w:val="0"/>
            <w:vAlign w:val="center"/>
          </w:tcPr>
          <w:p>
            <w:pPr>
              <w:numPr>
                <w:ilvl w:val="0"/>
                <w:numId w:val="4"/>
              </w:numPr>
              <w:adjustRightInd/>
              <w:snapToGrid/>
              <w:spacing w:line="240" w:lineRule="auto"/>
              <w:ind w:firstLine="0" w:firstLineChars="0"/>
              <w:rPr>
                <w:rFonts w:hint="eastAsia" w:ascii="宋体" w:hAnsi="宋体" w:cs="宋体"/>
                <w:sz w:val="21"/>
                <w:szCs w:val="21"/>
                <w:lang w:eastAsia="zh-CN"/>
              </w:rPr>
            </w:pPr>
            <w:r>
              <w:rPr>
                <w:rFonts w:hint="eastAsia" w:ascii="宋体" w:hAnsi="宋体" w:cs="宋体"/>
                <w:sz w:val="21"/>
                <w:szCs w:val="21"/>
              </w:rPr>
              <w:t>正确理解并掌握化学用语、基本概念和基本理论，从本质上来认识物质的性质及其变化规律</w:t>
            </w:r>
            <w:r>
              <w:rPr>
                <w:rFonts w:hint="eastAsia" w:ascii="宋体" w:hAnsi="宋体" w:cs="宋体"/>
                <w:sz w:val="21"/>
                <w:szCs w:val="21"/>
                <w:lang w:eastAsia="zh-CN"/>
              </w:rPr>
              <w:t>；</w:t>
            </w:r>
          </w:p>
          <w:p>
            <w:pPr>
              <w:numPr>
                <w:ilvl w:val="0"/>
                <w:numId w:val="4"/>
              </w:numPr>
              <w:adjustRightInd/>
              <w:snapToGrid/>
              <w:spacing w:line="240" w:lineRule="auto"/>
              <w:ind w:firstLine="0" w:firstLineChars="0"/>
              <w:rPr>
                <w:rFonts w:hint="default" w:ascii="宋体" w:hAnsi="宋体" w:eastAsia="宋体" w:cs="宋体"/>
                <w:kern w:val="2"/>
                <w:sz w:val="21"/>
                <w:szCs w:val="21"/>
                <w:lang w:val="en-US" w:eastAsia="zh-CN" w:bidi="ar-SA"/>
              </w:rPr>
            </w:pPr>
            <w:r>
              <w:rPr>
                <w:rFonts w:hint="eastAsia" w:ascii="宋体" w:hAnsi="宋体" w:cs="宋体"/>
                <w:sz w:val="21"/>
                <w:szCs w:val="21"/>
              </w:rPr>
              <w:t>掌握常见元素及其化合物的知识，掌握有机化合物以官能团为依据，通过比较、概括和归纳，从而掌握有机化合物的知识，结合生产和生活实际，用化学知识来解释现象和解答问题。</w:t>
            </w:r>
          </w:p>
        </w:tc>
        <w:tc>
          <w:tcPr>
            <w:tcW w:w="2437" w:type="dxa"/>
            <w:noWrap w:val="0"/>
            <w:vAlign w:val="center"/>
          </w:tcPr>
          <w:p>
            <w:pPr>
              <w:adjustRightInd/>
              <w:snapToGrid/>
              <w:spacing w:line="240" w:lineRule="auto"/>
              <w:ind w:firstLine="0" w:firstLineChars="0"/>
              <w:rPr>
                <w:rFonts w:hint="eastAsia" w:ascii="宋体" w:hAnsi="宋体" w:cs="宋体"/>
                <w:sz w:val="21"/>
                <w:szCs w:val="21"/>
                <w:lang w:val="en-US" w:eastAsia="zh-CN"/>
              </w:rPr>
            </w:pPr>
            <w:r>
              <w:rPr>
                <w:rFonts w:hint="eastAsia" w:ascii="宋体" w:hAnsi="宋体" w:cs="宋体"/>
                <w:sz w:val="21"/>
                <w:szCs w:val="21"/>
                <w:lang w:val="en-US" w:eastAsia="zh-CN"/>
              </w:rPr>
              <w:t>1.元素周期律，物质结构，化学热力学，电化学，反应速度等理论；</w:t>
            </w:r>
          </w:p>
          <w:p>
            <w:pPr>
              <w:adjustRightInd/>
              <w:snapToGrid/>
              <w:spacing w:line="240" w:lineRule="auto"/>
              <w:ind w:firstLine="0" w:firstLineChars="0"/>
              <w:rPr>
                <w:rFonts w:hint="default" w:ascii="宋体" w:hAnsi="宋体" w:cs="宋体"/>
                <w:sz w:val="21"/>
                <w:szCs w:val="21"/>
                <w:lang w:val="en-US" w:eastAsia="zh-CN"/>
              </w:rPr>
            </w:pPr>
            <w:r>
              <w:rPr>
                <w:rFonts w:hint="eastAsia" w:ascii="宋体" w:hAnsi="宋体" w:cs="宋体"/>
                <w:sz w:val="21"/>
                <w:szCs w:val="21"/>
                <w:lang w:val="en-US" w:eastAsia="zh-CN"/>
              </w:rPr>
              <w:t>2.元素化合物的基本性质，反应，制备，结构和用途；</w:t>
            </w:r>
          </w:p>
          <w:p>
            <w:pPr>
              <w:adjustRightInd/>
              <w:snapToGrid/>
              <w:spacing w:line="240" w:lineRule="auto"/>
              <w:ind w:firstLine="0" w:firstLineChars="0"/>
              <w:rPr>
                <w:rFonts w:hint="eastAsia" w:ascii="宋体" w:hAnsi="宋体" w:cs="宋体"/>
                <w:sz w:val="21"/>
                <w:szCs w:val="21"/>
                <w:lang w:eastAsia="zh-CN"/>
              </w:rPr>
            </w:pPr>
            <w:r>
              <w:rPr>
                <w:rFonts w:hint="eastAsia" w:ascii="宋体" w:hAnsi="宋体" w:cs="宋体"/>
                <w:sz w:val="21"/>
                <w:szCs w:val="21"/>
                <w:lang w:val="en-US" w:eastAsia="zh-CN"/>
              </w:rPr>
              <w:t>3.</w:t>
            </w:r>
            <w:r>
              <w:rPr>
                <w:rFonts w:hint="eastAsia" w:ascii="宋体" w:hAnsi="宋体" w:cs="宋体"/>
                <w:sz w:val="21"/>
                <w:szCs w:val="21"/>
              </w:rPr>
              <w:t>各类有机化合物的命名，物理性质、典型反应及制备方法</w:t>
            </w:r>
            <w:r>
              <w:rPr>
                <w:rFonts w:hint="eastAsia" w:ascii="宋体" w:hAnsi="宋体" w:cs="宋体"/>
                <w:sz w:val="21"/>
                <w:szCs w:val="21"/>
                <w:lang w:eastAsia="zh-CN"/>
              </w:rPr>
              <w:t>、</w:t>
            </w:r>
            <w:r>
              <w:rPr>
                <w:rFonts w:hint="eastAsia" w:ascii="宋体" w:hAnsi="宋体" w:cs="宋体"/>
                <w:sz w:val="21"/>
                <w:szCs w:val="21"/>
              </w:rPr>
              <w:t>典型有机化合物结构与性能的关系，以及典型有机反应的历程</w:t>
            </w:r>
            <w:r>
              <w:rPr>
                <w:rFonts w:hint="eastAsia" w:ascii="宋体" w:hAnsi="宋体" w:cs="宋体"/>
                <w:sz w:val="21"/>
                <w:szCs w:val="21"/>
                <w:lang w:eastAsia="zh-CN"/>
              </w:rPr>
              <w:t>；</w:t>
            </w:r>
          </w:p>
          <w:p>
            <w:pPr>
              <w:adjustRightInd/>
              <w:snapToGrid/>
              <w:spacing w:line="240" w:lineRule="auto"/>
              <w:ind w:firstLine="0" w:firstLineChars="0"/>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4.</w:t>
            </w:r>
            <w:r>
              <w:rPr>
                <w:rFonts w:hint="eastAsia" w:ascii="宋体" w:hAnsi="宋体" w:cs="宋体"/>
                <w:sz w:val="21"/>
                <w:szCs w:val="21"/>
              </w:rPr>
              <w:t>各类异构现象，诱导效应和共轭效应。</w:t>
            </w:r>
          </w:p>
        </w:tc>
        <w:tc>
          <w:tcPr>
            <w:tcW w:w="2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rPr>
            </w:pPr>
            <w:r>
              <w:rPr>
                <w:rFonts w:hint="eastAsia" w:ascii="宋体" w:hAnsi="宋体" w:cs="宋体"/>
                <w:sz w:val="21"/>
                <w:szCs w:val="21"/>
              </w:rPr>
              <w:t>以互联网“微时代”下的微信、微课等信息分享、自我表达方式为媒介，构建并实施“创境设疑，自主预习-在线测试，建构新知-汇报分享，体验成功-互动交流，拓展延伸”的教学模式，使学生在轻松、愉快的氛围中不断激发学习兴趣，提高自主学习能力</w:t>
            </w:r>
            <w:r>
              <w:rPr>
                <w:rFonts w:hint="eastAsia" w:ascii="宋体" w:hAnsi="宋体" w:cs="宋体"/>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2</w:t>
            </w:r>
          </w:p>
        </w:tc>
        <w:tc>
          <w:tcPr>
            <w:tcW w:w="10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sz w:val="21"/>
                <w:szCs w:val="21"/>
                <w:lang w:val="en-US" w:eastAsia="zh-CN"/>
              </w:rPr>
            </w:pPr>
            <w:r>
              <w:rPr>
                <w:rFonts w:hint="eastAsia" w:ascii="宋体" w:hAnsi="宋体" w:cs="宋体"/>
                <w:sz w:val="21"/>
                <w:szCs w:val="21"/>
                <w:lang w:val="en-US" w:eastAsia="zh-CN"/>
              </w:rPr>
              <w:t>药物化学</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40</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0</w:t>
            </w:r>
          </w:p>
        </w:tc>
        <w:tc>
          <w:tcPr>
            <w:tcW w:w="2538" w:type="dxa"/>
            <w:noWrap w:val="0"/>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t>掌握常用药物或代表药物的化学结构、化学名、理化性质、合成制备、构效关系；</w:t>
            </w:r>
          </w:p>
          <w:p>
            <w:pPr>
              <w:keepNext w:val="0"/>
              <w:keepLines w:val="0"/>
              <w:pageBreakBefore w:val="0"/>
              <w:widowControl w:val="0"/>
              <w:numPr>
                <w:ilvl w:val="0"/>
                <w:numId w:val="5"/>
              </w:numPr>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2.</w:t>
            </w:r>
            <w:r>
              <w:rPr>
                <w:rFonts w:hint="default" w:ascii="宋体" w:hAnsi="宋体" w:eastAsia="宋体" w:cs="宋体"/>
                <w:sz w:val="21"/>
                <w:szCs w:val="21"/>
                <w:lang w:val="en-US" w:eastAsia="zh-CN"/>
              </w:rPr>
              <w:t>熟悉药物发展史和设计思想，培养学生的专业自豪感。</w:t>
            </w:r>
          </w:p>
        </w:tc>
        <w:tc>
          <w:tcPr>
            <w:tcW w:w="2437"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1.</w:t>
            </w:r>
            <w:r>
              <w:rPr>
                <w:rFonts w:hint="default" w:ascii="宋体" w:hAnsi="宋体" w:cs="宋体"/>
                <w:sz w:val="21"/>
                <w:szCs w:val="21"/>
                <w:lang w:val="en-US" w:eastAsia="zh-CN"/>
              </w:rPr>
              <w:t>常用药物的通用名及化学命名、化学结构、合成方法、理化性质和用途；</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2.</w:t>
            </w:r>
            <w:r>
              <w:rPr>
                <w:rFonts w:hint="default" w:ascii="宋体" w:hAnsi="宋体" w:cs="宋体"/>
                <w:sz w:val="21"/>
                <w:szCs w:val="21"/>
                <w:lang w:val="en-US" w:eastAsia="zh-CN"/>
              </w:rPr>
              <w:t>重要类型药物的构效关系，为药物的贮存、制剂、分析和管理提供相应的化学基础；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3.</w:t>
            </w:r>
            <w:r>
              <w:rPr>
                <w:rFonts w:hint="default" w:ascii="宋体" w:hAnsi="宋体" w:cs="宋体"/>
                <w:sz w:val="21"/>
                <w:szCs w:val="21"/>
                <w:lang w:val="en-US" w:eastAsia="zh-CN"/>
              </w:rPr>
              <w:t>重要药物体内代谢相关的化学变化及与生物活性的关系；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宋体"/>
                <w:sz w:val="21"/>
                <w:szCs w:val="21"/>
                <w:lang w:val="en-US" w:eastAsia="zh-CN"/>
              </w:rPr>
            </w:pPr>
            <w:r>
              <w:rPr>
                <w:rFonts w:hint="eastAsia" w:ascii="宋体" w:hAnsi="宋体" w:cs="宋体"/>
                <w:sz w:val="21"/>
                <w:szCs w:val="21"/>
                <w:lang w:val="en-US" w:eastAsia="zh-CN"/>
              </w:rPr>
              <w:t>4.</w:t>
            </w:r>
            <w:r>
              <w:rPr>
                <w:rFonts w:hint="default" w:ascii="宋体" w:hAnsi="宋体" w:cs="宋体"/>
                <w:sz w:val="21"/>
                <w:szCs w:val="21"/>
                <w:lang w:val="en-US" w:eastAsia="zh-CN"/>
              </w:rPr>
              <w:t>各类药物的最新进展方向。</w:t>
            </w:r>
          </w:p>
        </w:tc>
        <w:tc>
          <w:tcPr>
            <w:tcW w:w="2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将知识与技能融合在一起，大部分知识需要在实践细化掌握，使学生在实训中充分理解和掌握各种代表药物的结构式、理化性质、合成代谢等，并将目前合成中使用的新工艺有所反映。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w:t>
            </w:r>
          </w:p>
        </w:tc>
        <w:tc>
          <w:tcPr>
            <w:tcW w:w="10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生药学</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120</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160</w:t>
            </w:r>
          </w:p>
        </w:tc>
        <w:tc>
          <w:tcPr>
            <w:tcW w:w="2538" w:type="dxa"/>
            <w:noWrap w:val="0"/>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auto"/>
              <w:ind w:firstLine="0" w:firstLineChars="0"/>
              <w:textAlignment w:val="auto"/>
              <w:rPr>
                <w:rFonts w:hint="eastAsia" w:ascii="宋体" w:hAnsi="宋体" w:cs="宋体"/>
                <w:sz w:val="21"/>
                <w:szCs w:val="21"/>
                <w:lang w:eastAsia="zh-CN"/>
              </w:rPr>
            </w:pPr>
            <w:r>
              <w:rPr>
                <w:rFonts w:hint="eastAsia" w:ascii="宋体" w:hAnsi="宋体" w:eastAsia="宋体" w:cs="宋体"/>
                <w:sz w:val="21"/>
                <w:szCs w:val="21"/>
              </w:rPr>
              <w:t>熟练掌握生药的基本理论，基本知识，基本技能</w:t>
            </w:r>
            <w:r>
              <w:rPr>
                <w:rFonts w:hint="eastAsia" w:ascii="宋体" w:hAnsi="宋体" w:cs="宋体"/>
                <w:sz w:val="21"/>
                <w:szCs w:val="21"/>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初步具备生药鉴定的基本素质，能应用生药学知识对常见生药进行鉴定，并为学生的继续发展奠定良好基础，培养严谨的鉴定态度。</w:t>
            </w:r>
          </w:p>
        </w:tc>
        <w:tc>
          <w:tcPr>
            <w:tcW w:w="24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s="宋体"/>
                <w:sz w:val="21"/>
                <w:szCs w:val="21"/>
                <w:lang w:val="en-US" w:eastAsia="zh-CN"/>
              </w:rPr>
            </w:pPr>
            <w:r>
              <w:rPr>
                <w:rFonts w:hint="eastAsia" w:ascii="宋体" w:hAnsi="宋体" w:cs="宋体"/>
                <w:sz w:val="21"/>
                <w:szCs w:val="21"/>
                <w:lang w:val="en-US" w:eastAsia="zh-CN"/>
              </w:rPr>
              <w:t>1.</w:t>
            </w:r>
            <w:r>
              <w:rPr>
                <w:rFonts w:hint="default" w:ascii="宋体" w:hAnsi="宋体" w:eastAsia="宋体" w:cs="宋体"/>
                <w:sz w:val="21"/>
                <w:szCs w:val="21"/>
                <w:lang w:val="en-US" w:eastAsia="zh-CN"/>
              </w:rPr>
              <w:t>生药学发展史，生药的采收、加工、贮藏</w:t>
            </w:r>
            <w:r>
              <w:rPr>
                <w:rFonts w:hint="eastAsia" w:ascii="宋体" w:hAnsi="宋体" w:cs="宋体"/>
                <w:sz w:val="21"/>
                <w:szCs w:val="21"/>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2.中</w:t>
            </w:r>
            <w:r>
              <w:rPr>
                <w:rFonts w:hint="default" w:ascii="宋体" w:hAnsi="宋体" w:eastAsia="宋体" w:cs="宋体"/>
                <w:sz w:val="21"/>
                <w:szCs w:val="21"/>
                <w:lang w:val="en-US" w:eastAsia="zh-CN"/>
              </w:rPr>
              <w:t>药鉴定的标准及方法，植物类生药的鉴定，动物类生药的鉴定，矿物类生药的鉴定。</w:t>
            </w:r>
          </w:p>
        </w:tc>
        <w:tc>
          <w:tcPr>
            <w:tcW w:w="2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sz w:val="21"/>
                <w:szCs w:val="21"/>
              </w:rPr>
            </w:pPr>
            <w:r>
              <w:rPr>
                <w:rFonts w:hint="eastAsia" w:ascii="宋体" w:hAnsi="宋体" w:cs="宋体"/>
                <w:sz w:val="21"/>
                <w:szCs w:val="21"/>
                <w:lang w:val="en-US" w:eastAsia="zh-CN"/>
              </w:rPr>
              <w:t>2.</w:t>
            </w:r>
            <w:r>
              <w:rPr>
                <w:rFonts w:hint="eastAsia" w:ascii="宋体" w:hAnsi="宋体" w:eastAsia="宋体" w:cs="宋体"/>
                <w:sz w:val="21"/>
                <w:szCs w:val="21"/>
              </w:rPr>
              <w:t>在教学中应用多媒体课件、教学录像、药学新技术</w:t>
            </w:r>
            <w:r>
              <w:rPr>
                <w:rFonts w:hint="eastAsia" w:ascii="宋体" w:hAnsi="宋体" w:cs="宋体"/>
                <w:sz w:val="21"/>
                <w:szCs w:val="21"/>
                <w:lang w:eastAsia="zh-CN"/>
              </w:rPr>
              <w:t>、</w:t>
            </w:r>
            <w:r>
              <w:rPr>
                <w:rFonts w:hint="eastAsia" w:ascii="宋体" w:hAnsi="宋体" w:eastAsia="宋体" w:cs="宋体"/>
                <w:sz w:val="21"/>
                <w:szCs w:val="21"/>
              </w:rPr>
              <w:t>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sz w:val="21"/>
                <w:szCs w:val="21"/>
                <w:lang w:eastAsia="zh-CN"/>
              </w:rPr>
            </w:pPr>
            <w:r>
              <w:rPr>
                <w:rFonts w:hint="eastAsia" w:ascii="宋体" w:hAnsi="宋体" w:eastAsia="宋体" w:cs="宋体"/>
                <w:sz w:val="21"/>
                <w:szCs w:val="21"/>
              </w:rPr>
              <w:t>频剪辑等，</w:t>
            </w:r>
            <w:r>
              <w:rPr>
                <w:rFonts w:hint="eastAsia" w:ascii="宋体" w:hAnsi="宋体" w:cs="宋体"/>
                <w:sz w:val="21"/>
                <w:szCs w:val="21"/>
                <w:lang w:eastAsia="zh-CN"/>
              </w:rPr>
              <w:t>再配合显微鉴定、对实物中药进行全方位学习，</w:t>
            </w:r>
            <w:r>
              <w:rPr>
                <w:rFonts w:hint="eastAsia" w:ascii="宋体" w:hAnsi="宋体" w:eastAsia="宋体" w:cs="宋体"/>
                <w:sz w:val="21"/>
                <w:szCs w:val="21"/>
              </w:rPr>
              <w:t>使课堂教学</w:t>
            </w:r>
            <w:r>
              <w:rPr>
                <w:rFonts w:hint="eastAsia" w:ascii="宋体" w:hAnsi="宋体" w:cs="宋体"/>
                <w:sz w:val="21"/>
                <w:szCs w:val="21"/>
                <w:lang w:eastAsia="zh-CN"/>
              </w:rPr>
              <w:t>更生动具体。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4</w:t>
            </w:r>
          </w:p>
        </w:tc>
        <w:tc>
          <w:tcPr>
            <w:tcW w:w="10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sz w:val="21"/>
                <w:szCs w:val="21"/>
                <w:lang w:val="en-US" w:eastAsia="zh-CN"/>
              </w:rPr>
            </w:pPr>
            <w:r>
              <w:rPr>
                <w:rFonts w:hint="eastAsia" w:ascii="宋体" w:hAnsi="宋体" w:cs="宋体"/>
                <w:sz w:val="21"/>
                <w:szCs w:val="21"/>
                <w:lang w:val="en-US" w:eastAsia="zh-CN"/>
              </w:rPr>
              <w:t>药物制剂</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300</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40</w:t>
            </w:r>
          </w:p>
        </w:tc>
        <w:tc>
          <w:tcPr>
            <w:tcW w:w="2538"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r>
              <w:rPr>
                <w:rFonts w:hint="eastAsia" w:ascii="宋体" w:hAnsi="宋体" w:eastAsia="宋体" w:cs="宋体"/>
                <w:kern w:val="2"/>
                <w:sz w:val="21"/>
                <w:szCs w:val="21"/>
                <w:lang w:val="en-US" w:eastAsia="zh-CN" w:bidi="ar-SA"/>
              </w:rPr>
              <w:t>具有药物剂型与制剂的制备、生产、质量控制、合理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s="宋体"/>
                <w:kern w:val="2"/>
                <w:sz w:val="21"/>
                <w:szCs w:val="21"/>
                <w:lang w:val="en-US" w:eastAsia="zh-CN" w:bidi="ar-SA"/>
              </w:rPr>
            </w:pPr>
            <w:r>
              <w:rPr>
                <w:rFonts w:hint="eastAsia" w:ascii="宋体" w:hAnsi="宋体" w:eastAsia="宋体" w:cs="宋体"/>
                <w:kern w:val="2"/>
                <w:sz w:val="21"/>
                <w:szCs w:val="21"/>
                <w:lang w:val="en-US" w:eastAsia="zh-CN" w:bidi="ar-SA"/>
              </w:rPr>
              <w:t>应用与正确评价的理论知识和基本技能</w:t>
            </w:r>
            <w:r>
              <w:rPr>
                <w:rFonts w:hint="eastAsia" w:ascii="宋体" w:hAnsi="宋体" w:cs="宋体"/>
                <w:kern w:val="2"/>
                <w:sz w:val="21"/>
                <w:szCs w:val="21"/>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r>
              <w:rPr>
                <w:rFonts w:hint="eastAsia" w:ascii="宋体" w:hAnsi="宋体" w:eastAsia="宋体" w:cs="宋体"/>
                <w:kern w:val="2"/>
                <w:sz w:val="21"/>
                <w:szCs w:val="21"/>
                <w:lang w:val="en-US" w:eastAsia="zh-CN" w:bidi="ar-SA"/>
              </w:rPr>
              <w:t>培养学生具有诚实、守信、善于沟通和合作的品质，树立环保、节能、安全意识，为发展学生药物制剂工艺专门化方向的职业能力奠定良好基础。</w:t>
            </w:r>
          </w:p>
        </w:tc>
        <w:tc>
          <w:tcPr>
            <w:tcW w:w="24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1.</w:t>
            </w:r>
            <w:r>
              <w:rPr>
                <w:rFonts w:hint="default" w:ascii="宋体" w:hAnsi="宋体" w:eastAsia="宋体" w:cs="宋体"/>
                <w:kern w:val="2"/>
                <w:sz w:val="21"/>
                <w:szCs w:val="21"/>
                <w:lang w:val="en-US" w:eastAsia="zh-CN" w:bidi="ar-SA"/>
              </w:rPr>
              <w:t>药物制剂的基本概念和基本理论；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各种药物剂型的特点和质量要求；</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w:t>
            </w:r>
            <w:r>
              <w:rPr>
                <w:rFonts w:hint="default" w:ascii="宋体" w:hAnsi="宋体" w:eastAsia="宋体" w:cs="宋体"/>
                <w:kern w:val="2"/>
                <w:sz w:val="21"/>
                <w:szCs w:val="21"/>
                <w:lang w:val="en-US" w:eastAsia="zh-CN" w:bidi="ar-SA"/>
              </w:rPr>
              <w:t>药物制剂的基本实验方法与技能；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4.</w:t>
            </w:r>
            <w:r>
              <w:rPr>
                <w:rFonts w:hint="default" w:ascii="宋体" w:hAnsi="宋体" w:eastAsia="宋体" w:cs="宋体"/>
                <w:kern w:val="2"/>
                <w:sz w:val="21"/>
                <w:szCs w:val="21"/>
                <w:lang w:val="en-US" w:eastAsia="zh-CN" w:bidi="ar-SA"/>
              </w:rPr>
              <w:t>各种剂型所需的辅料，各种剂型的基本制备方法、制备工艺及质量控制方法以及各个剂型制备的单元操作。</w:t>
            </w:r>
          </w:p>
        </w:tc>
        <w:tc>
          <w:tcPr>
            <w:tcW w:w="2064"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在教学中应用多媒体课件、教学录像、药学新技术</w:t>
            </w:r>
            <w:r>
              <w:rPr>
                <w:rFonts w:hint="eastAsia" w:ascii="宋体" w:hAnsi="宋体" w:cs="宋体"/>
                <w:kern w:val="2"/>
                <w:sz w:val="21"/>
                <w:szCs w:val="21"/>
                <w:lang w:val="en-US" w:eastAsia="zh-CN" w:bidi="ar-SA"/>
              </w:rPr>
              <w:t>、</w:t>
            </w:r>
            <w:r>
              <w:rPr>
                <w:rFonts w:hint="eastAsia" w:ascii="宋体" w:hAnsi="宋体" w:eastAsia="宋体" w:cs="宋体"/>
                <w:kern w:val="2"/>
                <w:sz w:val="21"/>
                <w:szCs w:val="21"/>
                <w:lang w:val="en-US" w:eastAsia="zh-CN" w:bidi="ar-SA"/>
              </w:rPr>
              <w:t>视频剪辑等，</w:t>
            </w:r>
            <w:r>
              <w:rPr>
                <w:rFonts w:hint="eastAsia" w:ascii="宋体" w:hAnsi="宋体" w:cs="宋体"/>
                <w:kern w:val="2"/>
                <w:sz w:val="21"/>
                <w:szCs w:val="21"/>
                <w:lang w:val="en-US" w:eastAsia="zh-CN" w:bidi="ar-SA"/>
              </w:rPr>
              <w:t>配合各类常见剂型的制备实操，强化制剂生产工艺流程</w:t>
            </w:r>
            <w:r>
              <w:rPr>
                <w:rFonts w:hint="eastAsia" w:ascii="宋体" w:hAnsi="宋体" w:eastAsia="宋体" w:cs="宋体"/>
                <w:kern w:val="2"/>
                <w:sz w:val="21"/>
                <w:szCs w:val="21"/>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650"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5</w:t>
            </w:r>
          </w:p>
        </w:tc>
        <w:tc>
          <w:tcPr>
            <w:tcW w:w="10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药物分析</w:t>
            </w:r>
          </w:p>
        </w:tc>
        <w:tc>
          <w:tcPr>
            <w:tcW w:w="67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360</w:t>
            </w:r>
          </w:p>
        </w:tc>
        <w:tc>
          <w:tcPr>
            <w:tcW w:w="62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200</w:t>
            </w:r>
          </w:p>
        </w:tc>
        <w:tc>
          <w:tcPr>
            <w:tcW w:w="2538" w:type="dxa"/>
            <w:noWrap w:val="0"/>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掌握药典的基本组成与正确使用；</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典型药物的鉴别、检查和含量测定的基本规律与基本方法；</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从药物的结构分析出发，运用化学的、物理化学的以及其他必要的技术与方法进行质量控制的基本方法与原理；</w:t>
            </w:r>
          </w:p>
          <w:p>
            <w:pPr>
              <w:keepNext w:val="0"/>
              <w:keepLines w:val="0"/>
              <w:pageBreakBefore w:val="0"/>
              <w:widowControl w:val="0"/>
              <w:numPr>
                <w:ilvl w:val="0"/>
                <w:numId w:val="7"/>
              </w:numPr>
              <w:kinsoku/>
              <w:wordWrap/>
              <w:overflowPunct/>
              <w:topLinePunct w:val="0"/>
              <w:autoSpaceDE/>
              <w:autoSpaceDN/>
              <w:bidi w:val="0"/>
              <w:adjustRightInd/>
              <w:snapToGrid/>
              <w:spacing w:line="240" w:lineRule="auto"/>
              <w:ind w:left="0" w:leftChars="0" w:firstLine="0" w:firstLineChars="0"/>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化学药物制剂分析的特点与基本方法，培养严谨认真的分析态度以及实事求是的职业道德。</w:t>
            </w:r>
          </w:p>
        </w:tc>
        <w:tc>
          <w:tcPr>
            <w:tcW w:w="243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宋体" w:hAnsi="宋体" w:eastAsia="宋体" w:cs="宋体"/>
                <w:kern w:val="2"/>
                <w:sz w:val="21"/>
                <w:szCs w:val="21"/>
                <w:lang w:val="en-US" w:eastAsia="zh-CN" w:bidi="ar-SA"/>
              </w:rPr>
            </w:pPr>
            <w:r>
              <w:rPr>
                <w:rFonts w:hint="default" w:ascii="宋体" w:hAnsi="宋体" w:eastAsia="宋体" w:cs="宋体"/>
                <w:kern w:val="2"/>
                <w:sz w:val="21"/>
                <w:szCs w:val="21"/>
                <w:lang w:val="en-US" w:eastAsia="zh-CN" w:bidi="ar-SA"/>
              </w:rPr>
              <w:t>以工作任务为中心，包括药物分析通论、药典概况、药物分析各论、各种制剂分析、体内药物分析、和药品质量标准的制订等6个方面的内容，以现行版药典要求检验的项目为线索进行设计，项目的确定以对药学专业所覆盖的岗位群所进行的工作任务和职业能力分析结果和现行版的《中华人民共和国药典》为依据。</w:t>
            </w:r>
          </w:p>
        </w:tc>
        <w:tc>
          <w:tcPr>
            <w:tcW w:w="2064" w:type="dxa"/>
            <w:noWrap w:val="0"/>
            <w:vAlign w:val="center"/>
          </w:tcPr>
          <w:p>
            <w:pPr>
              <w:pStyle w:val="2"/>
              <w:spacing w:line="240" w:lineRule="auto"/>
              <w:ind w:left="0" w:leftChars="0" w:firstLine="0" w:firstLineChars="0"/>
              <w:rPr>
                <w:rFonts w:hint="eastAsia"/>
                <w:lang w:val="en-US" w:eastAsia="zh-CN"/>
              </w:rPr>
            </w:pPr>
            <w:r>
              <w:rPr>
                <w:rFonts w:hint="eastAsia"/>
                <w:lang w:val="en-US" w:eastAsia="zh-CN"/>
              </w:rPr>
              <w:t>教学内容选择时，充分体现以药品质量标准为导向，以“必需、够用”为原则。从培养学生药物分析实际操作能力为出发，力求使学生加深对药物分析学科基本理论和专业知识的认识和理解，为从事药品质量检验工作奠定基础。</w:t>
            </w:r>
          </w:p>
        </w:tc>
      </w:tr>
    </w:tbl>
    <w:p>
      <w:pPr>
        <w:overflowPunct w:val="0"/>
        <w:ind w:firstLine="560"/>
        <w:rPr>
          <w:rFonts w:hint="eastAsia" w:ascii="宋体" w:hAnsi="宋体" w:cs="宋体"/>
        </w:rPr>
      </w:pPr>
    </w:p>
    <w:p>
      <w:pPr>
        <w:pStyle w:val="71"/>
        <w:ind w:left="0" w:leftChars="0" w:firstLine="0" w:firstLineChars="0"/>
      </w:pPr>
      <w:bookmarkStart w:id="10" w:name="_Toc17537287"/>
      <w:r>
        <w:rPr>
          <w:rFonts w:hint="eastAsia"/>
        </w:rPr>
        <w:t>七</w:t>
      </w:r>
      <w:r>
        <w:t>、教学进程总体安排</w:t>
      </w:r>
      <w:bookmarkEnd w:id="10"/>
    </w:p>
    <w:p>
      <w:pPr>
        <w:overflowPunct w:val="0"/>
        <w:ind w:firstLine="560"/>
        <w:rPr>
          <w:rFonts w:hint="eastAsia" w:ascii="宋体" w:hAnsi="宋体" w:cs="宋体"/>
          <w:szCs w:val="28"/>
        </w:rPr>
      </w:pPr>
      <w:r>
        <w:rPr>
          <w:rFonts w:hint="eastAsia" w:ascii="宋体" w:hAnsi="宋体" w:cs="宋体"/>
          <w:szCs w:val="28"/>
        </w:rPr>
        <w:t>本专业教学进程如表3所示：</w:t>
      </w:r>
    </w:p>
    <w:p>
      <w:pPr>
        <w:pStyle w:val="2"/>
        <w:rPr>
          <w:rFonts w:hint="eastAsia" w:ascii="宋体" w:hAnsi="宋体" w:cs="宋体"/>
          <w:szCs w:val="28"/>
        </w:rPr>
      </w:pPr>
    </w:p>
    <w:p>
      <w:pPr>
        <w:pStyle w:val="2"/>
        <w:rPr>
          <w:rFonts w:hint="eastAsia" w:ascii="宋体" w:hAnsi="宋体" w:cs="宋体"/>
          <w:szCs w:val="28"/>
        </w:rPr>
      </w:pPr>
    </w:p>
    <w:p>
      <w:pPr>
        <w:pStyle w:val="2"/>
        <w:rPr>
          <w:rFonts w:hint="eastAsia" w:ascii="宋体" w:hAnsi="宋体" w:cs="宋体"/>
          <w:szCs w:val="28"/>
        </w:rPr>
      </w:pPr>
    </w:p>
    <w:p>
      <w:pPr>
        <w:pStyle w:val="2"/>
        <w:rPr>
          <w:rFonts w:hint="eastAsia" w:ascii="宋体" w:hAnsi="宋体" w:cs="宋体"/>
          <w:szCs w:val="28"/>
        </w:rPr>
      </w:pPr>
    </w:p>
    <w:p>
      <w:pPr>
        <w:pStyle w:val="2"/>
        <w:rPr>
          <w:rFonts w:hint="eastAsia" w:ascii="宋体" w:hAnsi="宋体" w:cs="宋体"/>
          <w:szCs w:val="28"/>
        </w:rPr>
      </w:pPr>
    </w:p>
    <w:p>
      <w:pPr>
        <w:pStyle w:val="2"/>
        <w:rPr>
          <w:rFonts w:hint="eastAsia" w:ascii="宋体" w:hAnsi="宋体" w:cs="宋体"/>
          <w:szCs w:val="28"/>
        </w:rPr>
      </w:pPr>
    </w:p>
    <w:p>
      <w:pPr>
        <w:pStyle w:val="2"/>
        <w:ind w:left="0" w:leftChars="0" w:firstLine="0" w:firstLineChars="0"/>
        <w:rPr>
          <w:rFonts w:hint="eastAsia" w:ascii="宋体" w:hAnsi="宋体" w:cs="宋体"/>
          <w:szCs w:val="28"/>
        </w:rPr>
        <w:sectPr>
          <w:headerReference r:id="rId5" w:type="default"/>
          <w:footerReference r:id="rId6" w:type="default"/>
          <w:pgSz w:w="11906" w:h="16838"/>
          <w:pgMar w:top="1440" w:right="1463" w:bottom="1440" w:left="1519" w:header="851" w:footer="992" w:gutter="0"/>
          <w:pgNumType w:start="1"/>
          <w:cols w:space="425" w:num="1"/>
          <w:docGrid w:type="lines" w:linePitch="312" w:charSpace="0"/>
        </w:sect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68"/>
        <w:gridCol w:w="771"/>
        <w:gridCol w:w="704"/>
        <w:gridCol w:w="1000"/>
        <w:gridCol w:w="1003"/>
        <w:gridCol w:w="985"/>
        <w:gridCol w:w="650"/>
        <w:gridCol w:w="749"/>
        <w:gridCol w:w="904"/>
        <w:gridCol w:w="904"/>
        <w:gridCol w:w="836"/>
        <w:gridCol w:w="904"/>
        <w:gridCol w:w="904"/>
        <w:gridCol w:w="768"/>
        <w:gridCol w:w="769"/>
        <w:gridCol w:w="769"/>
        <w:gridCol w:w="7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5000" w:type="pct"/>
            <w:gridSpan w:val="1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药剂（高考方向）专业教学进程表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课程属性</w:t>
            </w:r>
          </w:p>
        </w:tc>
        <w:tc>
          <w:tcPr>
            <w:tcW w:w="248"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52"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课程名称</w:t>
            </w:r>
          </w:p>
        </w:tc>
        <w:tc>
          <w:tcPr>
            <w:tcW w:w="353"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课程</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代码</w:t>
            </w:r>
          </w:p>
        </w:tc>
        <w:tc>
          <w:tcPr>
            <w:tcW w:w="347"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课程性质</w:t>
            </w:r>
          </w:p>
        </w:tc>
        <w:tc>
          <w:tcPr>
            <w:tcW w:w="229"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考试方式</w:t>
            </w:r>
          </w:p>
        </w:tc>
        <w:tc>
          <w:tcPr>
            <w:tcW w:w="264"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学分</w:t>
            </w:r>
          </w:p>
        </w:tc>
        <w:tc>
          <w:tcPr>
            <w:tcW w:w="932" w:type="pct"/>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教学时数</w:t>
            </w:r>
          </w:p>
        </w:tc>
        <w:tc>
          <w:tcPr>
            <w:tcW w:w="1728" w:type="pct"/>
            <w:gridSpan w:val="6"/>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课程教学各学期周学时/实践周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52"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53"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47"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29"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4"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总学时</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理论</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学时</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实践</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学时</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公共基础</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语文</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英语</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思想政治</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历史</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信息技术</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体育与健康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心理健康</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（技能）</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课程</w:t>
            </w: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专业融合课程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化学基础</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72314408</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实验室基本操作</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72317302</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专业核心课程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12</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生药显微鉴定</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72318213</w:t>
            </w:r>
            <w:bookmarkStart w:id="21" w:name="_GoBack"/>
            <w:bookmarkEnd w:id="21"/>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13</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生药学</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72315203</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14</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生药学实训</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72315604</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cs="宋体"/>
                <w:i w:val="0"/>
                <w:iCs w:val="0"/>
                <w:color w:val="000000"/>
                <w:kern w:val="0"/>
                <w:sz w:val="18"/>
                <w:szCs w:val="18"/>
                <w:u w:val="none"/>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120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default" w:ascii="宋体" w:hAnsi="宋体" w:eastAsia="宋体" w:cs="宋体"/>
                <w:i w:val="0"/>
                <w:iCs w:val="0"/>
                <w:color w:val="000000"/>
                <w:sz w:val="18"/>
                <w:szCs w:val="18"/>
                <w:u w:val="none"/>
                <w:lang w:val="en-US"/>
              </w:rPr>
            </w:pPr>
            <w:r>
              <w:rPr>
                <w:rFonts w:hint="eastAsia" w:ascii="宋体" w:hAnsi="宋体" w:cs="宋体"/>
                <w:i w:val="0"/>
                <w:iCs w:val="0"/>
                <w:color w:val="000000"/>
                <w:kern w:val="0"/>
                <w:sz w:val="18"/>
                <w:szCs w:val="18"/>
                <w:u w:val="none"/>
                <w:lang w:val="en-US" w:eastAsia="zh-CN" w:bidi="ar"/>
              </w:rPr>
              <w:t>120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15</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药物制剂</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72315408</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16</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药物制剂实训</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72318209</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17</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药物分析</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72315306</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18</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药物分析实训</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72315607</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19</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药物化学</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72315302</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55</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180" w:firstLineChars="10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180" w:firstLineChars="10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专业拓展课程</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20</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医学基础</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72316212</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21</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中医学基础</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72316210</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22</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药理学</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trPr>
        <w:tc>
          <w:tcPr>
            <w:tcW w:w="270"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7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75</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1" w:hRule="atLeast"/>
        </w:trPr>
        <w:tc>
          <w:tcPr>
            <w:tcW w:w="542" w:type="pct"/>
            <w:gridSpan w:val="2"/>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素质拓展课及其他教学环节</w:t>
            </w: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23</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自由性选修课程</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60112201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自由选修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24</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军事训练及入学教育</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60123201</w:t>
            </w: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25</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识岗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0.5d</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0.5d</w:t>
            </w: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26</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习岗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1d</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1d</w:t>
            </w: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2"/>
                <w:sz w:val="18"/>
                <w:szCs w:val="18"/>
                <w:u w:val="none"/>
                <w:lang w:val="en-US" w:eastAsia="zh-CN" w:bidi="ar-SA"/>
              </w:rPr>
            </w:pPr>
            <w:r>
              <w:rPr>
                <w:rFonts w:hint="eastAsia" w:ascii="宋体" w:hAnsi="宋体" w:eastAsia="宋体" w:cs="宋体"/>
                <w:i w:val="0"/>
                <w:iCs w:val="0"/>
                <w:color w:val="000000"/>
                <w:kern w:val="0"/>
                <w:sz w:val="18"/>
                <w:szCs w:val="18"/>
                <w:u w:val="none"/>
                <w:lang w:val="en-US" w:eastAsia="zh-CN" w:bidi="ar"/>
              </w:rPr>
              <w:t>27</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跟岗</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2d</w:t>
            </w:r>
          </w:p>
        </w:tc>
        <w:tc>
          <w:tcPr>
            <w:tcW w:w="277"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6"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default" w:ascii="宋体" w:hAnsi="宋体" w:eastAsia="宋体" w:cs="宋体"/>
                <w:i w:val="0"/>
                <w:iCs w:val="0"/>
                <w:color w:val="000000"/>
                <w:sz w:val="18"/>
                <w:szCs w:val="18"/>
                <w:u w:val="none"/>
                <w:lang w:val="en-US" w:eastAsia="zh-CN"/>
              </w:rPr>
            </w:pPr>
            <w:r>
              <w:rPr>
                <w:rFonts w:hint="eastAsia" w:ascii="宋体" w:hAnsi="宋体" w:cs="宋体"/>
                <w:i w:val="0"/>
                <w:iCs w:val="0"/>
                <w:color w:val="000000"/>
                <w:sz w:val="18"/>
                <w:szCs w:val="18"/>
                <w:u w:val="none"/>
                <w:lang w:val="en-US" w:eastAsia="zh-CN"/>
              </w:rPr>
              <w:t>28</w:t>
            </w:r>
          </w:p>
        </w:tc>
        <w:tc>
          <w:tcPr>
            <w:tcW w:w="3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毕业设计</w:t>
            </w:r>
          </w:p>
        </w:tc>
        <w:tc>
          <w:tcPr>
            <w:tcW w:w="35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94"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7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542"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31"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6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39</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94"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8"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70"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1"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77"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2074" w:type="pct"/>
            <w:gridSpan w:val="7"/>
            <w:tcBorders>
              <w:top w:val="single" w:color="000000" w:sz="4" w:space="0"/>
              <w:left w:val="single" w:color="000000" w:sz="8"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264"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318"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w:t>
            </w:r>
          </w:p>
        </w:tc>
        <w:tc>
          <w:tcPr>
            <w:tcW w:w="318"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1169</w:t>
            </w:r>
          </w:p>
        </w:tc>
        <w:tc>
          <w:tcPr>
            <w:tcW w:w="294"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w:t>
            </w:r>
          </w:p>
        </w:tc>
        <w:tc>
          <w:tcPr>
            <w:tcW w:w="318"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318"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70"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71"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71"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31</w:t>
            </w:r>
          </w:p>
        </w:tc>
        <w:tc>
          <w:tcPr>
            <w:tcW w:w="277" w:type="pct"/>
            <w:tcBorders>
              <w:top w:val="single" w:color="000000" w:sz="4" w:space="0"/>
              <w:left w:val="single" w:color="000000" w:sz="4" w:space="0"/>
              <w:bottom w:val="single" w:color="000000" w:sz="8"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28</w:t>
            </w:r>
          </w:p>
        </w:tc>
      </w:tr>
    </w:tbl>
    <w:p>
      <w:pPr>
        <w:pStyle w:val="2"/>
        <w:ind w:left="0" w:leftChars="0" w:firstLine="0" w:firstLineChars="0"/>
        <w:rPr>
          <w:rFonts w:hint="eastAsia" w:ascii="宋体" w:hAnsi="宋体" w:cs="宋体"/>
          <w:szCs w:val="28"/>
        </w:rPr>
      </w:pPr>
    </w:p>
    <w:tbl>
      <w:tblPr>
        <w:tblStyle w:val="22"/>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4"/>
        <w:gridCol w:w="757"/>
        <w:gridCol w:w="754"/>
        <w:gridCol w:w="966"/>
        <w:gridCol w:w="939"/>
        <w:gridCol w:w="1011"/>
        <w:gridCol w:w="625"/>
        <w:gridCol w:w="700"/>
        <w:gridCol w:w="887"/>
        <w:gridCol w:w="887"/>
        <w:gridCol w:w="822"/>
        <w:gridCol w:w="887"/>
        <w:gridCol w:w="887"/>
        <w:gridCol w:w="757"/>
        <w:gridCol w:w="757"/>
        <w:gridCol w:w="887"/>
        <w:gridCol w:w="8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5000" w:type="pct"/>
            <w:gridSpan w:val="17"/>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药剂（就业方向）专业教学进程表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restart"/>
            <w:tcBorders>
              <w:top w:val="single" w:color="000000" w:sz="8"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课程属性</w:t>
            </w:r>
          </w:p>
        </w:tc>
        <w:tc>
          <w:tcPr>
            <w:tcW w:w="265"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序号</w:t>
            </w:r>
          </w:p>
        </w:tc>
        <w:tc>
          <w:tcPr>
            <w:tcW w:w="340"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课程名称</w:t>
            </w:r>
          </w:p>
        </w:tc>
        <w:tc>
          <w:tcPr>
            <w:tcW w:w="331"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课程代码</w:t>
            </w:r>
          </w:p>
        </w:tc>
        <w:tc>
          <w:tcPr>
            <w:tcW w:w="356"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课程性质</w:t>
            </w:r>
          </w:p>
        </w:tc>
        <w:tc>
          <w:tcPr>
            <w:tcW w:w="220"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考试方式</w:t>
            </w:r>
          </w:p>
        </w:tc>
        <w:tc>
          <w:tcPr>
            <w:tcW w:w="246" w:type="pct"/>
            <w:vMerge w:val="restar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学分</w:t>
            </w:r>
          </w:p>
        </w:tc>
        <w:tc>
          <w:tcPr>
            <w:tcW w:w="915" w:type="pct"/>
            <w:gridSpan w:val="3"/>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教学时数</w:t>
            </w:r>
          </w:p>
        </w:tc>
        <w:tc>
          <w:tcPr>
            <w:tcW w:w="1789" w:type="pct"/>
            <w:gridSpan w:val="6"/>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课程教学各学期周学时/实践周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8"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40"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31"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56"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20"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46" w:type="pct"/>
            <w:vMerge w:val="continue"/>
            <w:tcBorders>
              <w:top w:val="single" w:color="000000" w:sz="8"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总学时</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理论</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学时</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实践</w:t>
            </w:r>
          </w:p>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学时</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一</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二</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三</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四</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五</w:t>
            </w: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kern w:val="0"/>
                <w:sz w:val="18"/>
                <w:szCs w:val="18"/>
                <w:u w:val="none"/>
                <w:lang w:val="en-US" w:eastAsia="zh-CN" w:bidi="ar"/>
              </w:rPr>
            </w:pPr>
            <w:r>
              <w:rPr>
                <w:rFonts w:hint="eastAsia" w:ascii="宋体" w:hAnsi="宋体" w:eastAsia="宋体" w:cs="宋体"/>
                <w:b/>
                <w:bCs/>
                <w:i w:val="0"/>
                <w:iCs w:val="0"/>
                <w:color w:val="000000"/>
                <w:kern w:val="0"/>
                <w:sz w:val="18"/>
                <w:szCs w:val="18"/>
                <w:u w:val="none"/>
                <w:lang w:val="en-US" w:eastAsia="zh-CN" w:bidi="ar"/>
              </w:rPr>
              <w:t>公共基础</w:t>
            </w:r>
          </w:p>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课程</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语文</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数学</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英语</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思想政治</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历史</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信息技术</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体育与健康</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艺术</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心理健康</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both"/>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（技能）</w:t>
            </w:r>
            <w:r>
              <w:rPr>
                <w:rFonts w:hint="eastAsia" w:ascii="宋体" w:hAnsi="宋体" w:eastAsia="宋体" w:cs="宋体"/>
                <w:b/>
                <w:bCs/>
                <w:i w:val="0"/>
                <w:iCs w:val="0"/>
                <w:color w:val="000000"/>
                <w:kern w:val="0"/>
                <w:sz w:val="18"/>
                <w:szCs w:val="18"/>
                <w:u w:val="none"/>
                <w:lang w:val="en-US" w:eastAsia="zh-CN" w:bidi="ar"/>
              </w:rPr>
              <w:br w:type="textWrapping"/>
            </w:r>
            <w:r>
              <w:rPr>
                <w:rFonts w:hint="eastAsia" w:ascii="宋体" w:hAnsi="宋体" w:eastAsia="宋体" w:cs="宋体"/>
                <w:b/>
                <w:bCs/>
                <w:i w:val="0"/>
                <w:iCs w:val="0"/>
                <w:color w:val="000000"/>
                <w:kern w:val="0"/>
                <w:sz w:val="18"/>
                <w:szCs w:val="18"/>
                <w:u w:val="none"/>
                <w:lang w:val="en-US" w:eastAsia="zh-CN" w:bidi="ar"/>
              </w:rPr>
              <w:t>课程</w:t>
            </w: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专业融合课程</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化学基础</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72314408</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实验室基本操作</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72317302</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204</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left"/>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专业核心课程</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生药学</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72315203</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13</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生药学实训</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72315604</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药物制剂</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72315408</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药物制剂实训</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72318209</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药物分析</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72315306</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360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17</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药物分析实训</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72315607</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18</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药物化学</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72315302</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考试</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1220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820</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专业拓展课程</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19</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医学基础</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72316212</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中医学基础</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72316210</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药理学</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72316211</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265" w:type="pct"/>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合计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1580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1144</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436</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14</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3" w:type="pct"/>
            <w:gridSpan w:val="2"/>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素质拓展课及其他教学环节</w:t>
            </w: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自由性选修课程</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60112201</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自由选修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考查</w:t>
            </w: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23</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军事训练及入学教育</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60123201</w:t>
            </w: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公共必修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w:t>
            </w: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识岗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0.5d</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0.5d</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习岗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1d</w:t>
            </w: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1d</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26</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跟岗</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120d</w:t>
            </w: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120d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27</w:t>
            </w:r>
          </w:p>
        </w:tc>
        <w:tc>
          <w:tcPr>
            <w:tcW w:w="34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毕业设计</w:t>
            </w:r>
          </w:p>
        </w:tc>
        <w:tc>
          <w:tcPr>
            <w:tcW w:w="33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专业必修</w:t>
            </w:r>
          </w:p>
        </w:tc>
        <w:tc>
          <w:tcPr>
            <w:tcW w:w="22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4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8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26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18"/>
                <w:szCs w:val="18"/>
                <w:u w:val="none"/>
              </w:rPr>
            </w:pPr>
          </w:p>
        </w:tc>
        <w:tc>
          <w:tcPr>
            <w:tcW w:w="316" w:type="pct"/>
            <w:tcBorders>
              <w:top w:val="single" w:color="000000" w:sz="4" w:space="0"/>
              <w:left w:val="single" w:color="000000" w:sz="4" w:space="0"/>
              <w:bottom w:val="single" w:color="000000" w:sz="4" w:space="0"/>
              <w:right w:val="single" w:color="000000" w:sz="8"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3" w:type="pct"/>
            <w:gridSpan w:val="2"/>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pPr>
              <w:jc w:val="center"/>
              <w:rPr>
                <w:rFonts w:hint="eastAsia" w:ascii="宋体" w:hAnsi="宋体" w:eastAsia="宋体" w:cs="宋体"/>
                <w:b/>
                <w:bCs/>
                <w:i w:val="0"/>
                <w:iCs w:val="0"/>
                <w:color w:val="000000"/>
                <w:sz w:val="18"/>
                <w:szCs w:val="18"/>
                <w:u w:val="none"/>
              </w:rPr>
            </w:pPr>
          </w:p>
        </w:tc>
        <w:tc>
          <w:tcPr>
            <w:tcW w:w="1515" w:type="pct"/>
            <w:gridSpan w:val="5"/>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小计</w:t>
            </w:r>
          </w:p>
        </w:tc>
        <w:tc>
          <w:tcPr>
            <w:tcW w:w="246"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98</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w:t>
            </w:r>
          </w:p>
        </w:tc>
        <w:tc>
          <w:tcPr>
            <w:tcW w:w="289"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267"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2" w:type="pct"/>
            <w:tcBorders>
              <w:top w:val="single" w:color="000000" w:sz="4" w:space="0"/>
              <w:left w:val="single" w:color="000000" w:sz="4" w:space="0"/>
              <w:bottom w:val="single" w:color="000000" w:sz="4"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4"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048" w:type="pct"/>
            <w:gridSpan w:val="7"/>
            <w:tcBorders>
              <w:top w:val="single" w:color="000000" w:sz="4" w:space="0"/>
              <w:left w:val="single" w:color="000000" w:sz="8"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总计</w:t>
            </w:r>
          </w:p>
        </w:tc>
        <w:tc>
          <w:tcPr>
            <w:tcW w:w="246"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212</w:t>
            </w:r>
          </w:p>
        </w:tc>
        <w:tc>
          <w:tcPr>
            <w:tcW w:w="312"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1650</w:t>
            </w:r>
          </w:p>
        </w:tc>
        <w:tc>
          <w:tcPr>
            <w:tcW w:w="312"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1169</w:t>
            </w:r>
          </w:p>
        </w:tc>
        <w:tc>
          <w:tcPr>
            <w:tcW w:w="289"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ind w:left="0" w:leftChars="0" w:firstLine="0" w:firstLineChars="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481</w:t>
            </w:r>
          </w:p>
        </w:tc>
        <w:tc>
          <w:tcPr>
            <w:tcW w:w="312"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312"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29</w:t>
            </w:r>
          </w:p>
        </w:tc>
        <w:tc>
          <w:tcPr>
            <w:tcW w:w="267"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267"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30</w:t>
            </w:r>
          </w:p>
        </w:tc>
        <w:tc>
          <w:tcPr>
            <w:tcW w:w="312" w:type="pct"/>
            <w:tcBorders>
              <w:top w:val="single" w:color="000000" w:sz="4" w:space="0"/>
              <w:left w:val="single" w:color="000000" w:sz="4" w:space="0"/>
              <w:bottom w:val="single" w:color="000000" w:sz="8" w:space="0"/>
              <w:right w:val="single" w:color="000000" w:sz="4"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c>
          <w:tcPr>
            <w:tcW w:w="316" w:type="pct"/>
            <w:tcBorders>
              <w:top w:val="single" w:color="000000" w:sz="4" w:space="0"/>
              <w:left w:val="single" w:color="000000" w:sz="4" w:space="0"/>
              <w:bottom w:val="single" w:color="000000" w:sz="8" w:space="0"/>
              <w:right w:val="single" w:color="000000" w:sz="8" w:space="0"/>
            </w:tcBorders>
            <w:shd w:val="clear" w:color="auto" w:fill="FFC000"/>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0</w:t>
            </w:r>
          </w:p>
        </w:tc>
      </w:tr>
    </w:tbl>
    <w:p>
      <w:pPr>
        <w:pStyle w:val="2"/>
        <w:ind w:left="0" w:leftChars="0" w:firstLine="0" w:firstLineChars="0"/>
        <w:rPr>
          <w:rFonts w:hint="eastAsia" w:ascii="宋体" w:hAnsi="宋体" w:cs="宋体"/>
          <w:szCs w:val="28"/>
        </w:rPr>
      </w:pPr>
    </w:p>
    <w:p>
      <w:pPr>
        <w:pStyle w:val="71"/>
        <w:ind w:left="0" w:leftChars="0" w:firstLine="0" w:firstLineChars="0"/>
        <w:sectPr>
          <w:pgSz w:w="16838" w:h="11906" w:orient="landscape"/>
          <w:pgMar w:top="1519" w:right="1440" w:bottom="1463" w:left="1440" w:header="851" w:footer="992" w:gutter="0"/>
          <w:pgNumType w:start="1"/>
          <w:cols w:space="0" w:num="1"/>
          <w:rtlGutter w:val="0"/>
          <w:docGrid w:type="lines" w:linePitch="388" w:charSpace="0"/>
        </w:sectPr>
      </w:pPr>
      <w:bookmarkStart w:id="11" w:name="_Toc17537288"/>
    </w:p>
    <w:p>
      <w:pPr>
        <w:pStyle w:val="71"/>
        <w:ind w:left="0" w:leftChars="0" w:firstLine="0" w:firstLineChars="0"/>
      </w:pPr>
      <w:r>
        <w:t>八、实施保障</w:t>
      </w:r>
      <w:bookmarkEnd w:id="11"/>
    </w:p>
    <w:p>
      <w:pPr>
        <w:pStyle w:val="46"/>
        <w:ind w:firstLine="562"/>
      </w:pPr>
      <w:bookmarkStart w:id="12" w:name="_Toc17537289"/>
      <w:r>
        <w:t>（一）师资队伍</w:t>
      </w:r>
      <w:bookmarkEnd w:id="12"/>
    </w:p>
    <w:p>
      <w:pPr>
        <w:overflowPunct w:val="0"/>
        <w:adjustRightInd w:val="0"/>
        <w:spacing w:line="360" w:lineRule="auto"/>
        <w:outlineLvl w:val="0"/>
        <w:rPr>
          <w:rFonts w:ascii="宋体" w:hAnsi="宋体" w:eastAsia="宋体" w:cs="宋体"/>
          <w:sz w:val="28"/>
          <w:szCs w:val="28"/>
        </w:rPr>
      </w:pPr>
      <w:bookmarkStart w:id="13" w:name="_Toc17537290"/>
      <w:r>
        <w:rPr>
          <w:rFonts w:hint="eastAsia" w:ascii="宋体" w:hAnsi="宋体" w:eastAsia="宋体" w:cs="宋体"/>
          <w:sz w:val="28"/>
          <w:szCs w:val="28"/>
        </w:rPr>
        <w:t>1.基本要求</w:t>
      </w:r>
    </w:p>
    <w:p>
      <w:pPr>
        <w:overflowPunct w:val="0"/>
        <w:adjustRightInd w:val="0"/>
        <w:spacing w:line="360" w:lineRule="auto"/>
        <w:outlineLvl w:val="0"/>
        <w:rPr>
          <w:rFonts w:asciiTheme="minorEastAsia" w:hAnsiTheme="minorEastAsia" w:eastAsiaTheme="minorEastAsia" w:cstheme="minorEastAsia"/>
          <w:sz w:val="28"/>
          <w:szCs w:val="28"/>
        </w:rPr>
      </w:pPr>
      <w:r>
        <w:rPr>
          <w:rFonts w:hint="eastAsia" w:ascii="宋体" w:hAnsi="宋体" w:eastAsia="宋体" w:cs="宋体"/>
          <w:sz w:val="28"/>
          <w:szCs w:val="28"/>
        </w:rPr>
        <w:t>建议该专业配置1:15师生比的专业教师数量，</w:t>
      </w:r>
      <w:r>
        <w:rPr>
          <w:rFonts w:hint="eastAsia" w:asciiTheme="minorEastAsia" w:hAnsiTheme="minorEastAsia" w:eastAsiaTheme="minorEastAsia" w:cstheme="minorEastAsia"/>
          <w:sz w:val="28"/>
          <w:szCs w:val="28"/>
        </w:rPr>
        <w:t>可完成本专业每</w:t>
      </w:r>
    </w:p>
    <w:p>
      <w:pPr>
        <w:overflowPunct w:val="0"/>
        <w:adjustRightInd w:val="0"/>
        <w:spacing w:line="360" w:lineRule="auto"/>
        <w:ind w:left="0" w:leftChars="0" w:firstLine="0" w:firstLineChars="0"/>
        <w:outlineLvl w:val="0"/>
        <w:rPr>
          <w:rFonts w:ascii="宋体" w:hAnsi="宋体" w:eastAsia="宋体" w:cs="宋体"/>
          <w:sz w:val="28"/>
          <w:szCs w:val="28"/>
        </w:rPr>
      </w:pPr>
      <w:r>
        <w:rPr>
          <w:rFonts w:hint="eastAsia" w:asciiTheme="minorEastAsia" w:hAnsiTheme="minorEastAsia" w:eastAsiaTheme="minorEastAsia" w:cstheme="minorEastAsia"/>
          <w:sz w:val="28"/>
          <w:szCs w:val="28"/>
        </w:rPr>
        <w:t>届2个班80人的教学任务，</w:t>
      </w:r>
      <w:r>
        <w:rPr>
          <w:rFonts w:hint="eastAsia" w:ascii="宋体" w:hAnsi="宋体" w:eastAsia="宋体" w:cs="宋体"/>
          <w:sz w:val="28"/>
          <w:szCs w:val="28"/>
        </w:rPr>
        <w:t>专任教师中双师占比应达到80%以上。</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2.专业教师资格要求</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（1）具有良好的职业道德和敬业精神。</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（2）具有中职教师资格证书，并具有药剂专业的职业资格等级证书。</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（3）具有药学专业领域系统、扎实的理论知识和较强的实践动手能力。</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（4）具有一定中职教育理念，掌握一定的职业教育教学方法，能正确地分析、设计、实施和评价教学。</w:t>
      </w:r>
    </w:p>
    <w:p>
      <w:pPr>
        <w:overflowPunct w:val="0"/>
        <w:adjustRightInd w:val="0"/>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（5）积极开展教研和科研活动，与企业联系密切，具有较强的专业研究和课程开发能力。</w:t>
      </w:r>
    </w:p>
    <w:p>
      <w:pPr>
        <w:pStyle w:val="46"/>
        <w:ind w:firstLine="562"/>
        <w:rPr>
          <w:rFonts w:hint="eastAsia" w:ascii="宋体" w:hAnsi="宋体" w:eastAsia="宋体" w:cs="宋体"/>
          <w:b w:val="0"/>
          <w:kern w:val="2"/>
          <w:sz w:val="28"/>
          <w:szCs w:val="28"/>
          <w:lang w:val="en-US" w:eastAsia="zh-CN" w:bidi="ar-SA"/>
        </w:rPr>
      </w:pPr>
      <w:r>
        <w:rPr>
          <w:rFonts w:hint="eastAsia" w:ascii="宋体" w:hAnsi="宋体" w:eastAsia="宋体" w:cs="宋体"/>
          <w:b w:val="0"/>
          <w:kern w:val="2"/>
          <w:sz w:val="28"/>
          <w:szCs w:val="28"/>
          <w:lang w:val="en-US" w:eastAsia="zh-CN" w:bidi="ar-SA"/>
        </w:rPr>
        <w:t>（6）具有团队协作精神和处理相关公共关系的能力。</w:t>
      </w:r>
    </w:p>
    <w:p>
      <w:pPr>
        <w:pStyle w:val="46"/>
        <w:ind w:firstLine="562"/>
      </w:pPr>
      <w:r>
        <w:t>（二）教学设施</w:t>
      </w:r>
      <w:bookmarkEnd w:id="13"/>
    </w:p>
    <w:p>
      <w:pPr>
        <w:pStyle w:val="72"/>
        <w:keepNext w:val="0"/>
        <w:keepLines w:val="0"/>
        <w:pageBreakBefore w:val="0"/>
        <w:widowControl w:val="0"/>
        <w:kinsoku/>
        <w:wordWrap/>
        <w:overflowPunct w:val="0"/>
        <w:topLinePunct w:val="0"/>
        <w:autoSpaceDE/>
        <w:autoSpaceDN/>
        <w:bidi w:val="0"/>
        <w:adjustRightInd w:val="0"/>
        <w:snapToGrid w:val="0"/>
        <w:spacing w:after="157" w:afterLines="50" w:line="240" w:lineRule="auto"/>
        <w:ind w:firstLine="0" w:firstLineChars="0"/>
        <w:textAlignment w:val="auto"/>
        <w:rPr>
          <w:rFonts w:hint="eastAsia"/>
          <w:sz w:val="24"/>
          <w:szCs w:val="24"/>
        </w:rPr>
      </w:pPr>
      <w:r>
        <w:rPr>
          <w:rFonts w:hint="eastAsia"/>
          <w:sz w:val="24"/>
          <w:szCs w:val="24"/>
        </w:rPr>
        <w:t>表</w:t>
      </w:r>
      <w:r>
        <w:rPr>
          <w:rFonts w:hint="eastAsia"/>
          <w:sz w:val="24"/>
          <w:szCs w:val="24"/>
          <w:lang w:val="en-US" w:eastAsia="zh-CN"/>
        </w:rPr>
        <w:t xml:space="preserve">4  </w:t>
      </w:r>
      <w:r>
        <w:rPr>
          <w:rFonts w:hint="eastAsia" w:ascii="宋体" w:hAnsi="宋体" w:cs="宋体"/>
          <w:szCs w:val="28"/>
        </w:rPr>
        <w:t>校内实训（实验）教学功能室</w:t>
      </w:r>
    </w:p>
    <w:tbl>
      <w:tblPr>
        <w:tblStyle w:val="22"/>
        <w:tblW w:w="79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984"/>
        <w:gridCol w:w="2268"/>
        <w:gridCol w:w="1701"/>
        <w:gridCol w:w="12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bookmarkStart w:id="14" w:name="_Toc17537291"/>
            <w:r>
              <w:rPr>
                <w:rFonts w:hint="eastAsia" w:ascii="宋体" w:hAnsi="宋体"/>
                <w:b/>
                <w:sz w:val="21"/>
                <w:szCs w:val="21"/>
              </w:rPr>
              <w:t>序号</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实训项目名称</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实训室名称</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实训地点</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b/>
                <w:sz w:val="21"/>
                <w:szCs w:val="21"/>
              </w:rPr>
            </w:pPr>
            <w:r>
              <w:rPr>
                <w:rFonts w:hint="eastAsia" w:ascii="宋体" w:hAnsi="宋体"/>
                <w:b/>
                <w:sz w:val="21"/>
                <w:szCs w:val="21"/>
              </w:rPr>
              <w:t>工位数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snapToGrid w:val="0"/>
                <w:kern w:val="0"/>
                <w:sz w:val="21"/>
                <w:szCs w:val="21"/>
              </w:rPr>
            </w:pPr>
            <w:r>
              <w:rPr>
                <w:rFonts w:hint="eastAsia" w:ascii="宋体" w:hAnsi="宋体"/>
                <w:snapToGrid w:val="0"/>
                <w:kern w:val="0"/>
                <w:sz w:val="21"/>
                <w:szCs w:val="21"/>
              </w:rPr>
              <w:t>1</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生药学实训</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中药综合实训室</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生化系实训楼</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snapToGrid w:val="0"/>
                <w:kern w:val="0"/>
                <w:sz w:val="21"/>
                <w:szCs w:val="21"/>
              </w:rPr>
            </w:pPr>
            <w:r>
              <w:rPr>
                <w:rFonts w:hint="eastAsia" w:ascii="宋体" w:hAnsi="宋体"/>
                <w:snapToGrid w:val="0"/>
                <w:kern w:val="0"/>
                <w:sz w:val="21"/>
                <w:szCs w:val="21"/>
              </w:rPr>
              <w:t>2</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药物分析实训</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药物分析实训室</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生化系实训楼</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snapToGrid w:val="0"/>
                <w:kern w:val="0"/>
                <w:sz w:val="21"/>
                <w:szCs w:val="21"/>
                <w:lang w:eastAsia="zh-CN"/>
              </w:rPr>
            </w:pPr>
            <w:r>
              <w:rPr>
                <w:rFonts w:hint="eastAsia" w:ascii="宋体" w:hAnsi="宋体"/>
                <w:snapToGrid w:val="0"/>
                <w:kern w:val="0"/>
                <w:sz w:val="21"/>
                <w:szCs w:val="21"/>
                <w:lang w:val="en-US" w:eastAsia="zh-CN"/>
              </w:rPr>
              <w:t>3</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药物制剂实训</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药物制剂实训室</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宋体" w:hAnsi="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生化系实训楼</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74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宋体" w:hAnsi="宋体"/>
                <w:snapToGrid w:val="0"/>
                <w:kern w:val="0"/>
                <w:sz w:val="21"/>
                <w:szCs w:val="21"/>
                <w:lang w:val="en-US" w:eastAsia="zh-CN"/>
              </w:rPr>
            </w:pPr>
            <w:r>
              <w:rPr>
                <w:rFonts w:hint="eastAsia" w:ascii="宋体" w:hAnsi="宋体"/>
                <w:snapToGrid w:val="0"/>
                <w:kern w:val="0"/>
                <w:sz w:val="21"/>
                <w:szCs w:val="21"/>
                <w:lang w:val="en-US" w:eastAsia="zh-CN"/>
              </w:rPr>
              <w:t>4</w:t>
            </w:r>
          </w:p>
        </w:tc>
        <w:tc>
          <w:tcPr>
            <w:tcW w:w="198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医学基础</w:t>
            </w:r>
          </w:p>
        </w:tc>
        <w:tc>
          <w:tcPr>
            <w:tcW w:w="2268"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生物实训室</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生化系实训楼</w:t>
            </w:r>
          </w:p>
        </w:tc>
        <w:tc>
          <w:tcPr>
            <w:tcW w:w="124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Times New Roman"/>
                <w:snapToGrid w:val="0"/>
                <w:kern w:val="0"/>
                <w:sz w:val="21"/>
                <w:szCs w:val="21"/>
                <w:lang w:val="en-US" w:eastAsia="zh-CN" w:bidi="ar-SA"/>
              </w:rPr>
            </w:pPr>
            <w:r>
              <w:rPr>
                <w:rFonts w:hint="eastAsia" w:ascii="宋体" w:hAnsi="宋体" w:cs="Times New Roman"/>
                <w:snapToGrid w:val="0"/>
                <w:kern w:val="0"/>
                <w:sz w:val="21"/>
                <w:szCs w:val="21"/>
                <w:lang w:val="en-US" w:eastAsia="zh-CN" w:bidi="ar-SA"/>
              </w:rPr>
              <w:t>48</w:t>
            </w:r>
          </w:p>
        </w:tc>
      </w:tr>
    </w:tbl>
    <w:p>
      <w:pPr>
        <w:pStyle w:val="46"/>
        <w:numPr>
          <w:ilvl w:val="0"/>
          <w:numId w:val="8"/>
        </w:numPr>
        <w:ind w:left="0" w:leftChars="0" w:firstLine="562" w:firstLineChars="200"/>
      </w:pPr>
      <w:r>
        <w:t>教学资源</w:t>
      </w:r>
      <w:bookmarkEnd w:id="14"/>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1.教材选用</w:t>
      </w:r>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我校</w:t>
      </w:r>
      <w:r>
        <w:rPr>
          <w:rFonts w:hint="eastAsia" w:ascii="宋体" w:hAnsi="宋体" w:cs="宋体"/>
          <w:sz w:val="28"/>
          <w:szCs w:val="28"/>
          <w:lang w:eastAsia="zh-CN"/>
        </w:rPr>
        <w:t>药剂</w:t>
      </w:r>
      <w:r>
        <w:rPr>
          <w:rFonts w:hint="eastAsia" w:ascii="宋体" w:hAnsi="宋体" w:eastAsia="宋体" w:cs="宋体"/>
          <w:sz w:val="28"/>
          <w:szCs w:val="28"/>
          <w:lang w:val="en-US" w:eastAsia="zh-CN"/>
        </w:rPr>
        <w:t>工艺</w:t>
      </w:r>
      <w:r>
        <w:rPr>
          <w:rFonts w:hint="eastAsia" w:ascii="宋体" w:hAnsi="宋体" w:eastAsia="宋体" w:cs="宋体"/>
          <w:sz w:val="28"/>
          <w:szCs w:val="28"/>
        </w:rPr>
        <w:t>专业选用教材一般为人民卫生版社以及中国医药科技出版社</w:t>
      </w:r>
      <w:r>
        <w:rPr>
          <w:rFonts w:hint="eastAsia" w:ascii="宋体" w:hAnsi="宋体" w:eastAsia="宋体" w:cs="宋体"/>
          <w:sz w:val="28"/>
          <w:szCs w:val="28"/>
          <w:lang w:val="en-US" w:eastAsia="zh-CN"/>
        </w:rPr>
        <w:t>出版</w:t>
      </w:r>
      <w:r>
        <w:rPr>
          <w:rFonts w:hint="eastAsia" w:ascii="宋体" w:hAnsi="宋体" w:eastAsia="宋体" w:cs="宋体"/>
          <w:sz w:val="28"/>
          <w:szCs w:val="28"/>
        </w:rPr>
        <w:t>的中等职业学校规划教材。</w:t>
      </w:r>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2.数字资源配备</w:t>
      </w:r>
    </w:p>
    <w:p>
      <w:pPr>
        <w:numPr>
          <w:ilvl w:val="0"/>
          <w:numId w:val="0"/>
        </w:numPr>
        <w:ind w:firstLine="560" w:firstLineChars="200"/>
      </w:pPr>
      <w:r>
        <w:rPr>
          <w:rFonts w:hint="eastAsia" w:ascii="宋体" w:hAnsi="宋体" w:eastAsia="宋体" w:cs="宋体"/>
          <w:sz w:val="28"/>
          <w:szCs w:val="28"/>
        </w:rPr>
        <w:t>专业课配备合适的数字教学资源，如课件，微课，慕课，教学参考资料，学案，题库等辅助教学工具，完善超星教学平台内容，逐渐让该平台成为学生课余学习的主要途径。</w:t>
      </w:r>
    </w:p>
    <w:p>
      <w:pPr>
        <w:pStyle w:val="46"/>
        <w:numPr>
          <w:ilvl w:val="0"/>
          <w:numId w:val="8"/>
        </w:numPr>
        <w:ind w:left="0" w:leftChars="0" w:firstLine="562" w:firstLineChars="200"/>
      </w:pPr>
      <w:bookmarkStart w:id="15" w:name="_Toc17537292"/>
      <w:r>
        <w:t>教学方法</w:t>
      </w:r>
      <w:bookmarkEnd w:id="15"/>
    </w:p>
    <w:p>
      <w:pPr>
        <w:spacing w:line="360" w:lineRule="auto"/>
        <w:ind w:right="34" w:rightChars="12" w:firstLine="560" w:firstLineChars="200"/>
        <w:contextualSpacing/>
        <w:rPr>
          <w:rFonts w:ascii="宋体" w:hAnsi="宋体" w:eastAsia="宋体" w:cs="宋体"/>
          <w:sz w:val="28"/>
          <w:szCs w:val="28"/>
        </w:rPr>
      </w:pPr>
      <w:r>
        <w:rPr>
          <w:rFonts w:hint="eastAsia" w:ascii="宋体" w:hAnsi="宋体" w:eastAsia="宋体" w:cs="宋体"/>
          <w:sz w:val="28"/>
          <w:szCs w:val="28"/>
        </w:rPr>
        <w:t>改善教与学的方法，教学中充分发挥教师的主导作用和学生的主体作用，应用适合不同学生的教学方法进行教学，如倡导基于问题为本的学习、研究性学习、有效学习等，使学生在学习知识和技能的同时，提高自主学习的能力、评判性思维能力、分析解决问题的能力。</w:t>
      </w:r>
    </w:p>
    <w:p>
      <w:pPr>
        <w:spacing w:line="360" w:lineRule="auto"/>
        <w:ind w:right="34" w:rightChars="12" w:firstLine="560" w:firstLineChars="200"/>
        <w:contextualSpacing/>
      </w:pPr>
      <w:r>
        <w:rPr>
          <w:rFonts w:hint="eastAsia" w:ascii="宋体" w:hAnsi="宋体" w:eastAsia="宋体" w:cs="宋体"/>
          <w:sz w:val="28"/>
          <w:szCs w:val="28"/>
        </w:rPr>
        <w:t>提倡充分运用教学资源，采用讲授、方法讨论、示教、实验、多媒体、自学和辅导等方式，达到最好的教学效果。倡导同学之间交流、沟通、互相协作的学习风气，营造良好的学习氛围，培养学生分析解决问题的能力和团队协作精神。</w:t>
      </w:r>
    </w:p>
    <w:p>
      <w:pPr>
        <w:pStyle w:val="46"/>
        <w:numPr>
          <w:ilvl w:val="0"/>
          <w:numId w:val="8"/>
        </w:numPr>
        <w:ind w:left="0" w:leftChars="0" w:firstLine="562" w:firstLineChars="200"/>
      </w:pPr>
      <w:bookmarkStart w:id="16" w:name="_Toc17537293"/>
      <w:r>
        <w:t>学习评价</w:t>
      </w:r>
      <w:bookmarkEnd w:id="16"/>
    </w:p>
    <w:p>
      <w:pPr>
        <w:overflowPunct w:val="0"/>
        <w:spacing w:line="360" w:lineRule="auto"/>
        <w:ind w:firstLine="560" w:firstLineChars="200"/>
        <w:contextualSpacing/>
        <w:outlineLvl w:val="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1.评价原则</w:t>
      </w:r>
    </w:p>
    <w:p>
      <w:pPr>
        <w:pStyle w:val="98"/>
        <w:adjustRightInd/>
        <w:snapToGrid/>
        <w:spacing w:line="360" w:lineRule="auto"/>
        <w:ind w:firstLine="560" w:firstLineChars="200"/>
        <w:contextualSpacing/>
        <w:jc w:val="lef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（1）过程性评价</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对于课程考核要改变原有的一次性考核决定学生成绩的方式，要结合学生的日常课堂学习结果和学习过程中所表现出来的职业能力、职业态度、团队合作等综合职业素养，使评价的结果更具科学性。</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（2）双形式评价</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要将理论考核与实践考核两种形式并举，坚持职业教育“理论够用、技能突出”的原则，从而评价出学生的行动能力和创新能力。</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（3）多主体评价</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学生通过学习掌握从事专业领域实际工作所需的基本能力和基本技能，其评价主体不能只是教师，应该呈现“教师、学生、企业、社会”的多元主体。</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①教师公开评价。对于实训课程，教师应将评价标准，包括实训教学进程安排预先告知学生，根据评价标准来考评学生的学习成果与表现。</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②学生参与评价。理论阐述、模拟实践操作部分的考评视课程内容，采用教师与学生共同打分的方式，保证学生的评分比重。</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③企业师傅评价。在工学交替期间，由企业师傅对学生岗位实训和实习情况评价。学生通过企业师傅的打分及评语，了解企业对自己的认可程度；在毕业实习环节上，以企业评价为主,学校指导教师评价为辅，突出对学生实践学习过程中表现出的工作能力和态度的评价。</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④社会考证评价。学生要将所掌握的专业知识和基本技能去参加社会考证，获得相关技能证书，以增强就业资本和竞争优势。</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2.评价结构</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（1）专业纯理论课</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专业纯理论课教学评价主要以理论考试为主，平时成绩占40%，期中成绩占30%，期末成绩占30%，期中、期末以考试的形式为主，平时成绩则由任课老师根据学生平时表现、作业情况、单元测试的成绩等过程性评价内容进行综合评定（学生职业素养的实际提升情况和课程思想政治达成目标为主要参考依据）。</w:t>
      </w:r>
    </w:p>
    <w:p>
      <w:pPr>
        <w:overflowPunct w:val="0"/>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（2）专业实践操作课</w:t>
      </w:r>
    </w:p>
    <w:p>
      <w:pPr>
        <w:numPr>
          <w:ilvl w:val="0"/>
          <w:numId w:val="0"/>
        </w:numPr>
        <w:ind w:firstLine="560" w:firstLineChars="200"/>
      </w:pPr>
      <w:r>
        <w:rPr>
          <w:rFonts w:hint="eastAsia" w:ascii="宋体" w:hAnsi="宋体" w:eastAsia="宋体" w:cs="宋体"/>
          <w:sz w:val="28"/>
          <w:szCs w:val="28"/>
        </w:rPr>
        <w:t>无论是理实一体化课程还是纯实践操作课程，其评价主要以实践操作为主，平时操作成绩占40%，期中操作成绩占30%，期末操作成绩占30%，期中、期末以操作考试的形式为主（附带部分理论测试题），平时成绩则有任课老师根据学生平时操作情况、卫生值日情况、安全生产情况、课后作业情况、阶段性操作测试的成绩等过程性评价内容进行综合评定（学生职业素养的实际提升情况、课程思想政治达成目标、职业安全和规范意识养成目标为主要参考依据）。</w:t>
      </w:r>
    </w:p>
    <w:p>
      <w:pPr>
        <w:pStyle w:val="46"/>
        <w:numPr>
          <w:ilvl w:val="0"/>
          <w:numId w:val="8"/>
        </w:numPr>
        <w:ind w:left="0" w:leftChars="0" w:firstLine="562" w:firstLineChars="200"/>
      </w:pPr>
      <w:bookmarkStart w:id="17" w:name="_Toc17537294"/>
      <w:r>
        <w:t>质量管理</w:t>
      </w:r>
      <w:bookmarkEnd w:id="17"/>
    </w:p>
    <w:p>
      <w:pPr>
        <w:spacing w:line="360" w:lineRule="auto"/>
        <w:ind w:firstLine="560" w:firstLineChars="200"/>
        <w:contextualSpacing/>
        <w:rPr>
          <w:rFonts w:ascii="宋体" w:hAnsi="宋体" w:eastAsia="宋体" w:cs="宋体"/>
          <w:sz w:val="28"/>
          <w:szCs w:val="28"/>
        </w:rPr>
      </w:pPr>
      <w:r>
        <w:rPr>
          <w:rFonts w:hint="eastAsia" w:ascii="宋体" w:hAnsi="宋体" w:eastAsia="宋体" w:cs="宋体"/>
          <w:sz w:val="28"/>
          <w:szCs w:val="28"/>
        </w:rPr>
        <w:t>根据专业自身的特点建立健全配套的教学管理制度，做到以人为本，科学规范，在教学过程中，要有一定的规范性和灵活性，在实行工学交替时需要弹性学制并及时总结反馈，不断改进。合理调配专业教师、专业实训室等教学资源，通过教学管理促进教师教学能力的提升，不断提高教学质量。</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1.教学实施管理</w:t>
      </w:r>
    </w:p>
    <w:p>
      <w:pPr>
        <w:pStyle w:val="98"/>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建立科学规范的教学管理规章制度，适应以人才培养目标为导向的课程要求，根据药剂专业自身的特点，突出校企“双主体”育人的理念，在教学过程中进行三方评价，及时监控与总结反馈，不断改进，注重理论与实践并重，培养专业技能强、职业素质高的技能型人才。</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2.教学资源管理</w:t>
      </w:r>
    </w:p>
    <w:p>
      <w:pPr>
        <w:pStyle w:val="98"/>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充分将校内外各项资源应用于专业教学。校内资源包括：专业课程的网站（中专智慧云）、超星学习平台、校内实训基地等；校外资源包括：合作企业、专业展会、行业比赛等。</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3.教学过程管理</w:t>
      </w:r>
    </w:p>
    <w:p>
      <w:pPr>
        <w:pStyle w:val="98"/>
        <w:adjustRightInd/>
        <w:snapToGrid/>
        <w:spacing w:line="360" w:lineRule="auto"/>
        <w:ind w:firstLine="560" w:firstLineChars="200"/>
        <w:contextualSpacing/>
        <w:jc w:val="left"/>
        <w:rPr>
          <w:rFonts w:ascii="宋体" w:hAnsi="宋体" w:eastAsia="宋体"/>
          <w:color w:val="000000"/>
          <w:sz w:val="28"/>
          <w:szCs w:val="28"/>
        </w:rPr>
      </w:pPr>
      <w:r>
        <w:rPr>
          <w:rFonts w:hint="eastAsia" w:ascii="宋体" w:hAnsi="宋体" w:eastAsia="宋体"/>
          <w:color w:val="000000"/>
          <w:sz w:val="28"/>
          <w:szCs w:val="28"/>
        </w:rPr>
        <w:t>从学生、企业、教师三方面抓好调研与反馈工作，实行教学过程的管理。在实习中期、实习期末学生至少进行2次以上的学生评价调研，其内容包括课程设置、教学满意度等；对学生的实习就业企业进行学生岗位适应性与发展潜力调研；对教师进行课堂与期终教学效果调研。将调研结果进行分析，把其作为对专业培养方案的修订和课程设置的参考依据。</w:t>
      </w:r>
    </w:p>
    <w:p>
      <w:pPr>
        <w:pStyle w:val="98"/>
        <w:adjustRightInd/>
        <w:snapToGrid/>
        <w:spacing w:line="360" w:lineRule="auto"/>
        <w:ind w:firstLine="560" w:firstLineChars="200"/>
        <w:contextualSpacing/>
        <w:jc w:val="left"/>
        <w:rPr>
          <w:rFonts w:ascii="宋体" w:hAnsi="宋体" w:eastAsia="宋体" w:cs="宋体"/>
          <w:sz w:val="28"/>
          <w:szCs w:val="28"/>
        </w:rPr>
      </w:pPr>
      <w:r>
        <w:rPr>
          <w:rFonts w:hint="eastAsia" w:ascii="宋体" w:hAnsi="宋体" w:eastAsia="宋体" w:cs="宋体"/>
          <w:sz w:val="28"/>
          <w:szCs w:val="28"/>
        </w:rPr>
        <w:t>4.教学质量管理</w:t>
      </w:r>
    </w:p>
    <w:p>
      <w:pPr>
        <w:pStyle w:val="98"/>
        <w:adjustRightInd/>
        <w:snapToGrid/>
        <w:spacing w:line="360" w:lineRule="auto"/>
        <w:ind w:firstLine="560" w:firstLineChars="200"/>
        <w:contextualSpacing/>
        <w:jc w:val="left"/>
        <w:rPr>
          <w:rFonts w:ascii="宋体" w:hAnsi="宋体" w:eastAsia="宋体" w:cs="宋体"/>
          <w:sz w:val="28"/>
          <w:szCs w:val="28"/>
        </w:rPr>
      </w:pPr>
      <w:bookmarkStart w:id="18" w:name="_Toc17537295"/>
      <w:r>
        <w:rPr>
          <w:rFonts w:hint="eastAsia" w:ascii="宋体" w:hAnsi="宋体" w:eastAsia="宋体"/>
          <w:color w:val="000000"/>
          <w:sz w:val="28"/>
          <w:szCs w:val="28"/>
        </w:rPr>
        <w:t>由教务处、专业教研室对本专业的教学业务工作进行有计划、有组织的管理，并对教学以及实习过程的各个阶段和环节进行质量控制。使教学和实习有序进行。</w:t>
      </w:r>
    </w:p>
    <w:p>
      <w:pPr>
        <w:pStyle w:val="71"/>
        <w:numPr>
          <w:ilvl w:val="0"/>
          <w:numId w:val="9"/>
        </w:numPr>
        <w:ind w:left="0" w:leftChars="0" w:firstLine="0" w:firstLineChars="0"/>
      </w:pPr>
      <w:r>
        <w:t>毕业要求</w:t>
      </w:r>
      <w:bookmarkEnd w:id="18"/>
    </w:p>
    <w:p>
      <w:pPr>
        <w:overflowPunct w:val="0"/>
        <w:adjustRightInd w:val="0"/>
        <w:ind w:firstLine="560" w:firstLineChars="200"/>
        <w:rPr>
          <w:rFonts w:ascii="黑体" w:hAnsi="黑体" w:eastAsia="黑体" w:cs="黑体"/>
          <w:sz w:val="28"/>
          <w:szCs w:val="28"/>
        </w:rPr>
      </w:pPr>
      <w:r>
        <w:rPr>
          <w:rFonts w:hint="eastAsia" w:ascii="宋体" w:hAnsi="宋体" w:eastAsia="宋体" w:cs="宋体"/>
          <w:sz w:val="28"/>
          <w:szCs w:val="28"/>
        </w:rPr>
        <w:t>本专业学生毕业须通过规定年限的学习并达到以下要求：</w:t>
      </w:r>
    </w:p>
    <w:p>
      <w:pPr>
        <w:overflowPunct w:val="0"/>
        <w:spacing w:line="360" w:lineRule="auto"/>
        <w:ind w:firstLine="560" w:firstLineChars="200"/>
        <w:contextualSpacing/>
        <w:rPr>
          <w:rFonts w:ascii="宋体" w:hAnsi="宋体" w:eastAsia="宋体"/>
          <w:color w:val="000000"/>
          <w:sz w:val="28"/>
          <w:szCs w:val="28"/>
        </w:rPr>
      </w:pPr>
      <w:r>
        <w:rPr>
          <w:rFonts w:hint="eastAsia" w:ascii="宋体" w:hAnsi="宋体" w:eastAsia="宋体"/>
          <w:color w:val="000000"/>
          <w:sz w:val="28"/>
          <w:szCs w:val="28"/>
        </w:rPr>
        <w:t>1.思想品德评价合格；</w:t>
      </w:r>
    </w:p>
    <w:p>
      <w:pPr>
        <w:overflowPunct w:val="0"/>
        <w:spacing w:line="360" w:lineRule="auto"/>
        <w:ind w:firstLine="560" w:firstLineChars="200"/>
        <w:contextualSpacing/>
        <w:rPr>
          <w:rFonts w:hint="eastAsia" w:ascii="宋体" w:hAnsi="宋体" w:eastAsia="宋体"/>
          <w:color w:val="000000"/>
          <w:sz w:val="28"/>
          <w:szCs w:val="28"/>
        </w:rPr>
      </w:pPr>
      <w:r>
        <w:rPr>
          <w:rFonts w:hint="eastAsia" w:ascii="宋体" w:hAnsi="宋体" w:eastAsia="宋体"/>
          <w:color w:val="000000"/>
          <w:sz w:val="28"/>
          <w:szCs w:val="28"/>
        </w:rPr>
        <w:t>2.修满</w:t>
      </w:r>
      <w:r>
        <w:rPr>
          <w:rFonts w:hint="eastAsia" w:ascii="宋体" w:hAnsi="宋体" w:eastAsia="宋体"/>
          <w:color w:val="000000"/>
          <w:sz w:val="28"/>
          <w:szCs w:val="28"/>
          <w:lang w:val="en-US" w:eastAsia="zh-CN"/>
        </w:rPr>
        <w:t>本专业</w:t>
      </w:r>
      <w:r>
        <w:rPr>
          <w:rFonts w:hint="eastAsia" w:ascii="宋体" w:hAnsi="宋体" w:eastAsia="宋体"/>
          <w:color w:val="000000"/>
          <w:sz w:val="28"/>
          <w:szCs w:val="28"/>
        </w:rPr>
        <w:t>人才培养方案规定学分；</w:t>
      </w:r>
    </w:p>
    <w:p>
      <w:pPr>
        <w:overflowPunct w:val="0"/>
        <w:spacing w:line="360" w:lineRule="auto"/>
        <w:ind w:firstLine="560" w:firstLineChars="200"/>
        <w:contextualSpacing/>
      </w:pPr>
      <w:r>
        <w:rPr>
          <w:rFonts w:hint="eastAsia" w:ascii="宋体" w:hAnsi="宋体" w:eastAsia="宋体"/>
          <w:color w:val="000000"/>
          <w:sz w:val="28"/>
          <w:szCs w:val="28"/>
        </w:rPr>
        <w:t>3.顶岗实习或工学交替实习鉴定合格；</w:t>
      </w:r>
    </w:p>
    <w:p>
      <w:pPr>
        <w:overflowPunct w:val="0"/>
        <w:spacing w:line="360" w:lineRule="auto"/>
        <w:ind w:firstLine="560" w:firstLineChars="200"/>
        <w:contextualSpacing/>
        <w:rPr>
          <w:rFonts w:ascii="宋体" w:hAnsi="宋体" w:eastAsia="宋体"/>
          <w:color w:val="000000"/>
          <w:sz w:val="28"/>
          <w:szCs w:val="28"/>
        </w:rPr>
      </w:pPr>
      <w:r>
        <w:rPr>
          <w:rFonts w:hint="eastAsia" w:ascii="宋体" w:hAnsi="宋体"/>
          <w:color w:val="000000"/>
          <w:sz w:val="28"/>
          <w:szCs w:val="28"/>
          <w:lang w:val="en-US" w:eastAsia="zh-CN"/>
        </w:rPr>
        <w:t>4</w:t>
      </w:r>
      <w:r>
        <w:rPr>
          <w:rFonts w:hint="eastAsia" w:ascii="宋体" w:hAnsi="宋体" w:eastAsia="宋体"/>
          <w:color w:val="000000"/>
          <w:sz w:val="28"/>
          <w:szCs w:val="28"/>
        </w:rPr>
        <w:t>.无未撤销的纪律处分；</w:t>
      </w:r>
    </w:p>
    <w:p>
      <w:pPr>
        <w:overflowPunct w:val="0"/>
        <w:spacing w:line="360" w:lineRule="auto"/>
        <w:ind w:firstLine="560" w:firstLineChars="200"/>
        <w:contextualSpacing/>
        <w:rPr>
          <w:rFonts w:hint="eastAsia" w:eastAsia="宋体"/>
          <w:lang w:eastAsia="zh-CN"/>
        </w:rPr>
      </w:pPr>
      <w:r>
        <w:rPr>
          <w:rFonts w:hint="eastAsia" w:ascii="宋体" w:hAnsi="宋体"/>
          <w:color w:val="000000"/>
          <w:sz w:val="28"/>
          <w:szCs w:val="28"/>
          <w:lang w:val="en-US" w:eastAsia="zh-CN"/>
        </w:rPr>
        <w:t>5</w:t>
      </w:r>
      <w:r>
        <w:rPr>
          <w:rFonts w:hint="eastAsia" w:ascii="宋体" w:hAnsi="宋体" w:eastAsia="宋体"/>
          <w:color w:val="000000"/>
          <w:sz w:val="28"/>
          <w:szCs w:val="28"/>
        </w:rPr>
        <w:t>.素养学分达到学校规定要求</w:t>
      </w:r>
      <w:r>
        <w:rPr>
          <w:rFonts w:hint="eastAsia" w:ascii="宋体" w:hAnsi="宋体" w:eastAsia="宋体"/>
          <w:color w:val="000000"/>
          <w:sz w:val="28"/>
          <w:szCs w:val="28"/>
          <w:lang w:eastAsia="zh-CN"/>
        </w:rPr>
        <w:t>。</w:t>
      </w:r>
    </w:p>
    <w:p>
      <w:pPr>
        <w:pStyle w:val="71"/>
        <w:ind w:left="0" w:leftChars="0" w:firstLine="0" w:firstLineChars="0"/>
      </w:pPr>
      <w:bookmarkStart w:id="19" w:name="_Toc17537296"/>
      <w:r>
        <w:t>十、附录</w:t>
      </w:r>
      <w:bookmarkEnd w:id="19"/>
    </w:p>
    <w:p>
      <w:pPr>
        <w:overflowPunct w:val="0"/>
        <w:ind w:firstLine="562"/>
        <w:outlineLvl w:val="0"/>
        <w:rPr>
          <w:rFonts w:eastAsia="楷体_GB2312"/>
          <w:b/>
          <w:szCs w:val="32"/>
        </w:rPr>
      </w:pPr>
      <w:bookmarkStart w:id="20" w:name="_Toc17537298"/>
      <w:r>
        <w:rPr>
          <w:rFonts w:hint="eastAsia" w:eastAsia="楷体_GB2312"/>
          <w:b/>
          <w:szCs w:val="32"/>
        </w:rPr>
        <w:t>附录</w:t>
      </w:r>
      <w:r>
        <w:rPr>
          <w:rFonts w:hint="eastAsia" w:eastAsia="楷体_GB2312"/>
          <w:b/>
          <w:szCs w:val="32"/>
          <w:lang w:val="en-US" w:eastAsia="zh-CN"/>
        </w:rPr>
        <w:t>1</w:t>
      </w:r>
      <w:r>
        <w:rPr>
          <w:rFonts w:eastAsia="楷体_GB2312"/>
          <w:b/>
          <w:szCs w:val="32"/>
        </w:rPr>
        <w:t xml:space="preserve"> </w:t>
      </w:r>
      <w:r>
        <w:rPr>
          <w:rFonts w:hint="eastAsia" w:eastAsia="楷体_GB2312"/>
          <w:b/>
          <w:szCs w:val="32"/>
        </w:rPr>
        <w:t>教学计划变更审批表</w:t>
      </w:r>
      <w:bookmarkEnd w:id="20"/>
    </w:p>
    <w:p>
      <w:pPr>
        <w:ind w:firstLine="600"/>
        <w:jc w:val="center"/>
        <w:rPr>
          <w:rFonts w:eastAsia="黑体"/>
          <w:sz w:val="30"/>
        </w:rPr>
      </w:pPr>
      <w:r>
        <w:rPr>
          <w:rFonts w:hint="eastAsia" w:eastAsia="黑体"/>
          <w:sz w:val="30"/>
          <w:lang w:eastAsia="zh-CN"/>
        </w:rPr>
        <w:t>绍兴市中等专业</w:t>
      </w:r>
      <w:r>
        <w:rPr>
          <w:rFonts w:hint="eastAsia" w:eastAsia="黑体"/>
          <w:sz w:val="30"/>
        </w:rPr>
        <w:t>学校教学计划变更审批表</w:t>
      </w:r>
    </w:p>
    <w:p>
      <w:pPr>
        <w:ind w:firstLine="600"/>
        <w:jc w:val="center"/>
        <w:rPr>
          <w:rFonts w:ascii="黑体" w:eastAsia="黑体"/>
          <w:sz w:val="30"/>
        </w:rPr>
      </w:pPr>
      <w:r>
        <w:rPr>
          <w:rFonts w:ascii="黑体" w:eastAsia="黑体"/>
          <w:sz w:val="30"/>
          <w:u w:val="single"/>
        </w:rPr>
        <w:t xml:space="preserve">        </w:t>
      </w:r>
      <w:r>
        <w:rPr>
          <w:rFonts w:hint="eastAsia" w:ascii="黑体" w:eastAsia="黑体"/>
          <w:sz w:val="30"/>
        </w:rPr>
        <w:t>学年第</w:t>
      </w:r>
      <w:r>
        <w:rPr>
          <w:rFonts w:hint="eastAsia" w:ascii="黑体" w:eastAsia="黑体"/>
          <w:sz w:val="30"/>
          <w:u w:val="single"/>
        </w:rPr>
        <w:t xml:space="preserve">  </w:t>
      </w:r>
      <w:r>
        <w:rPr>
          <w:rFonts w:ascii="黑体" w:eastAsia="黑体"/>
          <w:sz w:val="30"/>
          <w:u w:val="single"/>
        </w:rPr>
        <w:t xml:space="preserve"> </w:t>
      </w:r>
      <w:r>
        <w:rPr>
          <w:rFonts w:hint="eastAsia" w:ascii="黑体" w:eastAsia="黑体"/>
          <w:sz w:val="30"/>
          <w:u w:val="single"/>
        </w:rPr>
        <w:t xml:space="preserve">  </w:t>
      </w:r>
      <w:r>
        <w:rPr>
          <w:rFonts w:hint="eastAsia" w:ascii="黑体" w:eastAsia="黑体"/>
          <w:sz w:val="30"/>
        </w:rPr>
        <w:t>学期</w:t>
      </w:r>
    </w:p>
    <w:tbl>
      <w:tblPr>
        <w:tblStyle w:val="22"/>
        <w:tblW w:w="9277" w:type="dxa"/>
        <w:tblInd w:w="-3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7"/>
        <w:gridCol w:w="1440"/>
        <w:gridCol w:w="915"/>
        <w:gridCol w:w="1245"/>
        <w:gridCol w:w="1275"/>
        <w:gridCol w:w="705"/>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系名称</w:t>
            </w:r>
          </w:p>
        </w:tc>
        <w:tc>
          <w:tcPr>
            <w:tcW w:w="235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252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专业班级（全称）</w:t>
            </w:r>
          </w:p>
        </w:tc>
        <w:tc>
          <w:tcPr>
            <w:tcW w:w="3045"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6" w:hRule="atLeast"/>
        </w:trPr>
        <w:tc>
          <w:tcPr>
            <w:tcW w:w="135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原计划</w:t>
            </w: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课程名称</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（全称）</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计划学期</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ascii="仿宋_GB2312"/>
                <w:sz w:val="21"/>
                <w:szCs w:val="21"/>
              </w:rPr>
            </w:pPr>
            <w:r>
              <w:rPr>
                <w:rFonts w:hint="eastAsia" w:ascii="仿宋_GB2312"/>
                <w:sz w:val="21"/>
                <w:szCs w:val="21"/>
              </w:rPr>
              <w:t>课程计划分布周</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ascii="仿宋_GB2312"/>
                <w:sz w:val="21"/>
                <w:szCs w:val="21"/>
              </w:rPr>
            </w:pPr>
            <w:r>
              <w:rPr>
                <w:rFonts w:ascii="仿宋_GB2312"/>
                <w:sz w:val="21"/>
                <w:szCs w:val="21"/>
                <w:u w:val="single"/>
              </w:rPr>
              <w:t xml:space="preserve">      </w:t>
            </w:r>
            <w:r>
              <w:rPr>
                <w:rFonts w:hint="eastAsia" w:ascii="仿宋_GB2312"/>
                <w:sz w:val="21"/>
                <w:szCs w:val="21"/>
              </w:rPr>
              <w:t>学年第</w:t>
            </w:r>
            <w:r>
              <w:rPr>
                <w:rFonts w:ascii="仿宋_GB2312"/>
                <w:sz w:val="21"/>
                <w:szCs w:val="21"/>
                <w:u w:val="single"/>
              </w:rPr>
              <w:t xml:space="preserve"> </w:t>
            </w:r>
            <w:r>
              <w:rPr>
                <w:rFonts w:hint="eastAsia" w:ascii="仿宋_GB2312"/>
                <w:sz w:val="21"/>
                <w:szCs w:val="21"/>
                <w:u w:val="single"/>
                <w:lang w:val="en-US" w:eastAsia="zh-CN"/>
              </w:rPr>
              <w:t xml:space="preserve">  </w:t>
            </w:r>
            <w:r>
              <w:rPr>
                <w:rFonts w:hint="eastAsia" w:ascii="仿宋_GB2312"/>
                <w:sz w:val="21"/>
                <w:szCs w:val="21"/>
              </w:rPr>
              <w:t>学期 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周～第</w:t>
            </w:r>
            <w:r>
              <w:rPr>
                <w:rFonts w:hint="eastAsia" w:ascii="仿宋_GB2312"/>
                <w:sz w:val="21"/>
                <w:szCs w:val="21"/>
                <w:u w:val="single"/>
              </w:rPr>
              <w:t xml:space="preserve"> </w:t>
            </w:r>
            <w:r>
              <w:rPr>
                <w:rFonts w:ascii="仿宋_GB2312"/>
                <w:sz w:val="21"/>
                <w:szCs w:val="21"/>
                <w:u w:val="single"/>
              </w:rPr>
              <w:t xml:space="preserve"> </w:t>
            </w:r>
            <w:r>
              <w:rPr>
                <w:rFonts w:hint="eastAsia" w:ascii="仿宋_GB2312"/>
                <w:sz w:val="21"/>
                <w:szCs w:val="21"/>
                <w:u w:val="single"/>
              </w:rPr>
              <w:t xml:space="preserve"> </w:t>
            </w:r>
            <w:r>
              <w:rPr>
                <w:rFonts w:hint="eastAsia" w:ascii="仿宋_GB2312"/>
                <w:sz w:val="21"/>
                <w:szCs w:val="21"/>
              </w:rPr>
              <w:t>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trPr>
        <w:tc>
          <w:tcPr>
            <w:tcW w:w="135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c>
          <w:tcPr>
            <w:tcW w:w="14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计划总学时计划周学时</w:t>
            </w:r>
          </w:p>
        </w:tc>
        <w:tc>
          <w:tcPr>
            <w:tcW w:w="216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rPr>
            </w:pPr>
            <w:r>
              <w:rPr>
                <w:rFonts w:hint="eastAsia" w:ascii="仿宋_GB2312"/>
                <w:sz w:val="21"/>
                <w:szCs w:val="21"/>
              </w:rPr>
              <w:t>总学时</w:t>
            </w:r>
            <w:r>
              <w:rPr>
                <w:rFonts w:hint="eastAsia" w:ascii="仿宋_GB2312"/>
                <w:sz w:val="21"/>
                <w:szCs w:val="21"/>
                <w:u w:val="single"/>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ascii="仿宋_GB2312"/>
                <w:sz w:val="21"/>
                <w:szCs w:val="21"/>
                <w:u w:val="single"/>
              </w:rPr>
            </w:pPr>
            <w:r>
              <w:rPr>
                <w:rFonts w:hint="eastAsia" w:ascii="仿宋_GB2312"/>
                <w:sz w:val="21"/>
                <w:szCs w:val="21"/>
              </w:rPr>
              <w:t>周学时</w:t>
            </w:r>
            <w:r>
              <w:rPr>
                <w:rFonts w:hint="eastAsia" w:ascii="仿宋_GB2312"/>
                <w:sz w:val="21"/>
                <w:szCs w:val="21"/>
                <w:u w:val="single"/>
              </w:rPr>
              <w:t xml:space="preserve">     </w:t>
            </w:r>
          </w:p>
        </w:tc>
        <w:tc>
          <w:tcPr>
            <w:tcW w:w="198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任课教师</w:t>
            </w:r>
          </w:p>
        </w:tc>
        <w:tc>
          <w:tcPr>
            <w:tcW w:w="23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53"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变更原因</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及内容（此表不够可另附说明材料）</w:t>
            </w:r>
          </w:p>
        </w:tc>
        <w:tc>
          <w:tcPr>
            <w:tcW w:w="7920" w:type="dxa"/>
            <w:gridSpan w:val="6"/>
            <w:vAlign w:val="center"/>
          </w:tcPr>
          <w:p>
            <w:pPr>
              <w:ind w:firstLine="420"/>
              <w:jc w:val="left"/>
              <w:rPr>
                <w:rFonts w:ascii="仿宋_GB2312"/>
                <w:sz w:val="21"/>
                <w:szCs w:val="21"/>
              </w:rPr>
            </w:pPr>
          </w:p>
          <w:p>
            <w:pPr>
              <w:ind w:left="0" w:leftChars="0" w:firstLine="0" w:firstLineChars="0"/>
              <w:jc w:val="left"/>
              <w:rPr>
                <w:rFonts w:ascii="仿宋_GB2312"/>
                <w:sz w:val="21"/>
                <w:szCs w:val="21"/>
              </w:rPr>
            </w:pPr>
          </w:p>
          <w:p>
            <w:pPr>
              <w:ind w:firstLine="420"/>
              <w:jc w:val="left"/>
              <w:rPr>
                <w:rFonts w:ascii="仿宋_GB2312"/>
                <w:sz w:val="21"/>
                <w:szCs w:val="21"/>
              </w:rPr>
            </w:pPr>
          </w:p>
          <w:p>
            <w:pPr>
              <w:ind w:firstLine="420"/>
              <w:jc w:val="center"/>
              <w:rPr>
                <w:rFonts w:ascii="仿宋_GB2312"/>
                <w:sz w:val="21"/>
                <w:szCs w:val="21"/>
              </w:rPr>
            </w:pPr>
            <w:r>
              <w:rPr>
                <w:rFonts w:hint="eastAsia" w:ascii="仿宋_GB2312"/>
                <w:sz w:val="21"/>
                <w:szCs w:val="21"/>
              </w:rPr>
              <w:t xml:space="preserve">    </w:t>
            </w:r>
          </w:p>
          <w:p>
            <w:pPr>
              <w:ind w:firstLine="420"/>
              <w:jc w:val="center"/>
              <w:rPr>
                <w:rFonts w:ascii="仿宋_GB2312"/>
                <w:sz w:val="21"/>
                <w:szCs w:val="21"/>
              </w:rPr>
            </w:pPr>
            <w:r>
              <w:rPr>
                <w:rFonts w:hint="eastAsia" w:ascii="仿宋_GB2312"/>
                <w:sz w:val="21"/>
                <w:szCs w:val="21"/>
              </w:rPr>
              <w:t xml:space="preserve">                       教研室主任签名：</w:t>
            </w:r>
          </w:p>
          <w:p>
            <w:pPr>
              <w:tabs>
                <w:tab w:val="left" w:pos="5472"/>
              </w:tabs>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教学管理小组意见</w:t>
            </w:r>
          </w:p>
        </w:tc>
        <w:tc>
          <w:tcPr>
            <w:tcW w:w="7920" w:type="dxa"/>
            <w:gridSpan w:val="6"/>
            <w:vAlign w:val="center"/>
          </w:tcPr>
          <w:p>
            <w:pPr>
              <w:ind w:firstLine="420"/>
              <w:jc w:val="center"/>
              <w:rPr>
                <w:rFonts w:ascii="仿宋_GB2312"/>
                <w:sz w:val="21"/>
                <w:szCs w:val="21"/>
              </w:rPr>
            </w:pPr>
          </w:p>
          <w:p>
            <w:pPr>
              <w:ind w:firstLine="420"/>
              <w:jc w:val="center"/>
              <w:rPr>
                <w:rFonts w:ascii="仿宋_GB2312"/>
                <w:sz w:val="21"/>
                <w:szCs w:val="21"/>
              </w:rPr>
            </w:pPr>
          </w:p>
          <w:p>
            <w:pPr>
              <w:ind w:firstLine="420"/>
              <w:jc w:val="center"/>
              <w:rPr>
                <w:rFonts w:ascii="仿宋_GB2312"/>
                <w:sz w:val="21"/>
                <w:szCs w:val="21"/>
              </w:rPr>
            </w:pPr>
            <w:r>
              <w:rPr>
                <w:rFonts w:hint="eastAsia" w:ascii="仿宋_GB2312"/>
                <w:sz w:val="21"/>
                <w:szCs w:val="21"/>
              </w:rPr>
              <w:t xml:space="preserve">                               系主任签名：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教务处</w:t>
            </w: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ascii="仿宋_GB2312"/>
                <w:sz w:val="21"/>
                <w:szCs w:val="21"/>
              </w:rPr>
            </w:pPr>
            <w:r>
              <w:rPr>
                <w:rFonts w:hint="eastAsia" w:ascii="仿宋_GB2312"/>
                <w:sz w:val="21"/>
                <w:szCs w:val="21"/>
              </w:rPr>
              <w:t>意见</w:t>
            </w:r>
          </w:p>
        </w:tc>
        <w:tc>
          <w:tcPr>
            <w:tcW w:w="7920" w:type="dxa"/>
            <w:gridSpan w:val="6"/>
            <w:vAlign w:val="center"/>
          </w:tcPr>
          <w:p>
            <w:pPr>
              <w:ind w:left="0" w:leftChars="0" w:firstLine="0" w:firstLineChars="0"/>
              <w:jc w:val="both"/>
              <w:rPr>
                <w:rFonts w:ascii="仿宋_GB2312"/>
                <w:sz w:val="21"/>
                <w:szCs w:val="21"/>
              </w:rPr>
            </w:pPr>
          </w:p>
          <w:p>
            <w:pPr>
              <w:ind w:firstLine="420"/>
              <w:jc w:val="center"/>
              <w:rPr>
                <w:rFonts w:ascii="仿宋_GB2312"/>
                <w:sz w:val="21"/>
                <w:szCs w:val="21"/>
              </w:rPr>
            </w:pPr>
          </w:p>
          <w:p>
            <w:pPr>
              <w:ind w:firstLine="420"/>
              <w:jc w:val="both"/>
              <w:rPr>
                <w:rFonts w:ascii="仿宋_GB2312"/>
                <w:sz w:val="21"/>
                <w:szCs w:val="21"/>
              </w:rPr>
            </w:pPr>
            <w:r>
              <w:rPr>
                <w:rFonts w:hint="eastAsia" w:ascii="仿宋_GB2312"/>
                <w:sz w:val="21"/>
                <w:szCs w:val="21"/>
              </w:rPr>
              <w:t xml:space="preserve">                                   签名：</w:t>
            </w:r>
          </w:p>
          <w:p>
            <w:pPr>
              <w:ind w:firstLine="420"/>
              <w:jc w:val="center"/>
              <w:rPr>
                <w:rFonts w:ascii="仿宋_GB2312"/>
                <w:sz w:val="21"/>
                <w:szCs w:val="21"/>
              </w:rPr>
            </w:pPr>
            <w:r>
              <w:rPr>
                <w:rFonts w:hint="eastAsia" w:ascii="仿宋_GB2312"/>
                <w:sz w:val="21"/>
                <w:szCs w:val="21"/>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2" w:hRule="atLeast"/>
        </w:trPr>
        <w:tc>
          <w:tcPr>
            <w:tcW w:w="135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ascii="仿宋_GB2312"/>
                <w:sz w:val="21"/>
                <w:szCs w:val="21"/>
              </w:rPr>
            </w:pPr>
            <w:r>
              <w:rPr>
                <w:rFonts w:hint="eastAsia" w:ascii="仿宋_GB2312"/>
                <w:sz w:val="21"/>
                <w:szCs w:val="21"/>
              </w:rPr>
              <w:t>校学术委员会意见</w:t>
            </w:r>
          </w:p>
        </w:tc>
        <w:tc>
          <w:tcPr>
            <w:tcW w:w="7920" w:type="dxa"/>
            <w:gridSpan w:val="6"/>
            <w:vAlign w:val="center"/>
          </w:tcPr>
          <w:p>
            <w:pPr>
              <w:ind w:firstLine="420"/>
              <w:rPr>
                <w:rFonts w:ascii="仿宋_GB2312"/>
                <w:sz w:val="21"/>
                <w:szCs w:val="21"/>
              </w:rPr>
            </w:pPr>
          </w:p>
          <w:p>
            <w:pPr>
              <w:ind w:firstLine="420"/>
              <w:jc w:val="center"/>
              <w:rPr>
                <w:rFonts w:ascii="仿宋_GB2312"/>
                <w:sz w:val="21"/>
                <w:szCs w:val="21"/>
              </w:rPr>
            </w:pPr>
            <w:r>
              <w:rPr>
                <w:rFonts w:hint="eastAsia" w:ascii="仿宋_GB2312"/>
                <w:sz w:val="21"/>
                <w:szCs w:val="21"/>
              </w:rPr>
              <w:t xml:space="preserve">                               主任签名：</w:t>
            </w:r>
          </w:p>
          <w:p>
            <w:pPr>
              <w:ind w:firstLine="420"/>
              <w:jc w:val="center"/>
              <w:rPr>
                <w:rFonts w:ascii="仿宋_GB2312"/>
                <w:sz w:val="21"/>
                <w:szCs w:val="21"/>
              </w:rPr>
            </w:pPr>
            <w:r>
              <w:rPr>
                <w:rFonts w:hint="eastAsia" w:ascii="仿宋_GB2312"/>
                <w:sz w:val="21"/>
                <w:szCs w:val="21"/>
              </w:rPr>
              <w:t xml:space="preserve">                                                    年   月   日</w:t>
            </w:r>
          </w:p>
        </w:tc>
      </w:tr>
    </w:tbl>
    <w:p>
      <w:pPr>
        <w:ind w:firstLine="420"/>
        <w:rPr>
          <w:rFonts w:ascii="黑体" w:eastAsia="黑体"/>
          <w:sz w:val="21"/>
          <w:szCs w:val="21"/>
        </w:rPr>
      </w:pPr>
      <w:r>
        <w:rPr>
          <w:rFonts w:hint="eastAsia" w:ascii="黑体" w:eastAsia="黑体"/>
          <w:sz w:val="21"/>
          <w:szCs w:val="21"/>
        </w:rPr>
        <w:t>备注：本表一式两份填报，经批准后，一份在系存档，一份在教务处存档。</w:t>
      </w:r>
    </w:p>
    <w:p>
      <w:pPr>
        <w:ind w:left="0" w:leftChars="0" w:firstLine="0" w:firstLineChars="0"/>
        <w:rPr>
          <w:rFonts w:ascii="黑体" w:eastAsia="黑体"/>
          <w:sz w:val="21"/>
          <w:szCs w:val="21"/>
        </w:rPr>
      </w:pPr>
    </w:p>
    <w:sectPr>
      <w:pgSz w:w="11906" w:h="16838"/>
      <w:pgMar w:top="1440" w:right="1463" w:bottom="1440" w:left="1519" w:header="851" w:footer="992" w:gutter="0"/>
      <w:pgNumType w:start="1"/>
      <w:cols w:space="0" w:num="1"/>
      <w:rtlGutter w:val="0"/>
      <w:docGrid w:type="lines" w:linePitch="388"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E9A6630-208F-4FE0-A275-179051AAD596}"/>
  </w:font>
  <w:font w:name="Arial">
    <w:panose1 w:val="020B0604020202020204"/>
    <w:charset w:val="01"/>
    <w:family w:val="swiss"/>
    <w:pitch w:val="default"/>
    <w:sig w:usb0="E0002AFF" w:usb1="C0007843" w:usb2="00000009" w:usb3="00000000" w:csb0="400001FF" w:csb1="FFFF0000"/>
    <w:embedRegular r:id="rId2" w:fontKey="{CE72003F-9268-45A8-81A2-0D3644BDCAD5}"/>
  </w:font>
  <w:font w:name="黑体">
    <w:panose1 w:val="02010609060101010101"/>
    <w:charset w:val="86"/>
    <w:family w:val="auto"/>
    <w:pitch w:val="default"/>
    <w:sig w:usb0="800002BF" w:usb1="38CF7CFA" w:usb2="00000016" w:usb3="00000000" w:csb0="00040001" w:csb1="00000000"/>
    <w:embedRegular r:id="rId3" w:fontKey="{67F25C6E-3660-4998-80E7-41CFF6846F89}"/>
  </w:font>
  <w:font w:name="Courier New">
    <w:panose1 w:val="02070309020205020404"/>
    <w:charset w:val="01"/>
    <w:family w:val="modern"/>
    <w:pitch w:val="default"/>
    <w:sig w:usb0="E0002AFF" w:usb1="C0007843" w:usb2="00000009" w:usb3="00000000" w:csb0="400001FF" w:csb1="FFFF0000"/>
    <w:embedRegular r:id="rId4" w:fontKey="{9113D745-5597-41F2-9DAC-74E7C20963FB}"/>
  </w:font>
  <w:font w:name="Symbol">
    <w:panose1 w:val="05050102010706020507"/>
    <w:charset w:val="02"/>
    <w:family w:val="roman"/>
    <w:pitch w:val="default"/>
    <w:sig w:usb0="00000000" w:usb1="00000000" w:usb2="00000000" w:usb3="00000000" w:csb0="80000000" w:csb1="00000000"/>
    <w:embedRegular r:id="rId5" w:fontKey="{F8E4E002-9167-43BF-B6C8-AC1891160E34}"/>
  </w:font>
  <w:font w:name="Calibri">
    <w:panose1 w:val="020F0502020204030204"/>
    <w:charset w:val="00"/>
    <w:family w:val="swiss"/>
    <w:pitch w:val="default"/>
    <w:sig w:usb0="E00002FF" w:usb1="4000ACFF" w:usb2="00000001" w:usb3="00000000" w:csb0="2000019F" w:csb1="00000000"/>
    <w:embedRegular r:id="rId6" w:fontKey="{E7A4841F-5B59-471A-A4CA-CEEBD7001E38}"/>
  </w:font>
  <w:font w:name="仿宋_GB2312">
    <w:altName w:val="仿宋"/>
    <w:panose1 w:val="02010609030101010101"/>
    <w:charset w:val="86"/>
    <w:family w:val="modern"/>
    <w:pitch w:val="default"/>
    <w:sig w:usb0="00000000" w:usb1="00000000" w:usb2="00000010" w:usb3="00000000" w:csb0="00040000" w:csb1="00000000"/>
    <w:embedRegular r:id="rId7" w:fontKey="{C35A98B3-E002-4614-9110-97EA6E3EB6A6}"/>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embedRegular r:id="rId8" w:fontKey="{FBFC814E-7838-4529-BF35-C7A73FDE3242}"/>
  </w:font>
  <w:font w:name="方正书宋简体">
    <w:altName w:val="宋体"/>
    <w:panose1 w:val="00000000000000000000"/>
    <w:charset w:val="86"/>
    <w:family w:val="script"/>
    <w:pitch w:val="default"/>
    <w:sig w:usb0="00000000" w:usb1="00000000" w:usb2="00000010" w:usb3="00000000" w:csb0="00040000" w:csb1="00000000"/>
  </w:font>
  <w:font w:name="方正兰亭黑简体">
    <w:altName w:val="宋体"/>
    <w:panose1 w:val="00000000000000000000"/>
    <w:charset w:val="86"/>
    <w:family w:val="auto"/>
    <w:pitch w:val="default"/>
    <w:sig w:usb0="00000000" w:usb1="00000000" w:usb2="00000010" w:usb3="00000000" w:csb0="00040000" w:csb1="00000000"/>
  </w:font>
  <w:font w:name="方正仿宋简体">
    <w:altName w:val="微软雅黑"/>
    <w:panose1 w:val="02000000000000000000"/>
    <w:charset w:val="86"/>
    <w:family w:val="auto"/>
    <w:pitch w:val="default"/>
    <w:sig w:usb0="00000000" w:usb1="00000000" w:usb2="00000012" w:usb3="00000000" w:csb0="00040001" w:csb1="00000000"/>
    <w:embedRegular r:id="rId9" w:fontKey="{29852509-A0C3-4F8D-A92B-BF078ACF5E93}"/>
  </w:font>
  <w:font w:name="微软雅黑">
    <w:panose1 w:val="020B0503020204020204"/>
    <w:charset w:val="86"/>
    <w:family w:val="auto"/>
    <w:pitch w:val="default"/>
    <w:sig w:usb0="80000287" w:usb1="280F3C52" w:usb2="00000016" w:usb3="00000000" w:csb0="0004001F" w:csb1="00000000"/>
  </w:font>
  <w:font w:name="方正大标宋_GBK">
    <w:panose1 w:val="02000000000000000000"/>
    <w:charset w:val="86"/>
    <w:family w:val="auto"/>
    <w:pitch w:val="default"/>
    <w:sig w:usb0="A00002BF" w:usb1="08CF7CFA" w:usb2="00000000" w:usb3="00000000" w:csb0="00040001" w:csb1="00000000"/>
    <w:embedRegular r:id="rId10" w:fontKey="{0B34F914-358A-4CA4-8831-E291F2CA35A6}"/>
  </w:font>
  <w:font w:name="楷体_GB2312">
    <w:panose1 w:val="02010609030101010101"/>
    <w:charset w:val="86"/>
    <w:family w:val="modern"/>
    <w:pitch w:val="default"/>
    <w:sig w:usb0="00000001" w:usb1="080E0000" w:usb2="00000000" w:usb3="00000000" w:csb0="00040000" w:csb1="00000000"/>
    <w:embedRegular r:id="rId11" w:fontKey="{25DA7109-8F00-4F51-AF0B-53AFAA973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8DDD76"/>
    <w:multiLevelType w:val="singleLevel"/>
    <w:tmpl w:val="8F8DDD76"/>
    <w:lvl w:ilvl="0" w:tentative="0">
      <w:start w:val="1"/>
      <w:numFmt w:val="decimal"/>
      <w:suff w:val="nothing"/>
      <w:lvlText w:val="（%1）"/>
      <w:lvlJc w:val="left"/>
    </w:lvl>
  </w:abstractNum>
  <w:abstractNum w:abstractNumId="1">
    <w:nsid w:val="9A54A536"/>
    <w:multiLevelType w:val="singleLevel"/>
    <w:tmpl w:val="9A54A536"/>
    <w:lvl w:ilvl="0" w:tentative="0">
      <w:start w:val="1"/>
      <w:numFmt w:val="decimal"/>
      <w:lvlText w:val="%1."/>
      <w:lvlJc w:val="left"/>
      <w:pPr>
        <w:tabs>
          <w:tab w:val="left" w:pos="312"/>
        </w:tabs>
      </w:pPr>
    </w:lvl>
  </w:abstractNum>
  <w:abstractNum w:abstractNumId="2">
    <w:nsid w:val="C7914E25"/>
    <w:multiLevelType w:val="singleLevel"/>
    <w:tmpl w:val="C7914E25"/>
    <w:lvl w:ilvl="0" w:tentative="0">
      <w:start w:val="1"/>
      <w:numFmt w:val="decimal"/>
      <w:lvlText w:val="%1."/>
      <w:lvlJc w:val="left"/>
      <w:pPr>
        <w:tabs>
          <w:tab w:val="left" w:pos="312"/>
        </w:tabs>
      </w:pPr>
    </w:lvl>
  </w:abstractNum>
  <w:abstractNum w:abstractNumId="3">
    <w:nsid w:val="C977B133"/>
    <w:multiLevelType w:val="singleLevel"/>
    <w:tmpl w:val="C977B133"/>
    <w:lvl w:ilvl="0" w:tentative="0">
      <w:start w:val="1"/>
      <w:numFmt w:val="decimal"/>
      <w:lvlText w:val="%1."/>
      <w:lvlJc w:val="left"/>
      <w:pPr>
        <w:tabs>
          <w:tab w:val="left" w:pos="312"/>
        </w:tabs>
      </w:pPr>
    </w:lvl>
  </w:abstractNum>
  <w:abstractNum w:abstractNumId="4">
    <w:nsid w:val="224DAE50"/>
    <w:multiLevelType w:val="singleLevel"/>
    <w:tmpl w:val="224DAE50"/>
    <w:lvl w:ilvl="0" w:tentative="0">
      <w:start w:val="1"/>
      <w:numFmt w:val="decimal"/>
      <w:suff w:val="nothing"/>
      <w:lvlText w:val="（%1）"/>
      <w:lvlJc w:val="left"/>
    </w:lvl>
  </w:abstractNum>
  <w:abstractNum w:abstractNumId="5">
    <w:nsid w:val="3306F89A"/>
    <w:multiLevelType w:val="singleLevel"/>
    <w:tmpl w:val="3306F89A"/>
    <w:lvl w:ilvl="0" w:tentative="0">
      <w:start w:val="3"/>
      <w:numFmt w:val="chineseCounting"/>
      <w:suff w:val="nothing"/>
      <w:lvlText w:val="（%1）"/>
      <w:lvlJc w:val="left"/>
      <w:rPr>
        <w:rFonts w:hint="eastAsia"/>
      </w:rPr>
    </w:lvl>
  </w:abstractNum>
  <w:abstractNum w:abstractNumId="6">
    <w:nsid w:val="38D73231"/>
    <w:multiLevelType w:val="singleLevel"/>
    <w:tmpl w:val="38D73231"/>
    <w:lvl w:ilvl="0" w:tentative="0">
      <w:start w:val="1"/>
      <w:numFmt w:val="decimal"/>
      <w:lvlText w:val="%1."/>
      <w:lvlJc w:val="left"/>
      <w:pPr>
        <w:tabs>
          <w:tab w:val="left" w:pos="312"/>
        </w:tabs>
      </w:pPr>
    </w:lvl>
  </w:abstractNum>
  <w:abstractNum w:abstractNumId="7">
    <w:nsid w:val="3D3017EA"/>
    <w:multiLevelType w:val="singleLevel"/>
    <w:tmpl w:val="3D3017EA"/>
    <w:lvl w:ilvl="0" w:tentative="0">
      <w:start w:val="9"/>
      <w:numFmt w:val="chineseCounting"/>
      <w:suff w:val="nothing"/>
      <w:lvlText w:val="%1、"/>
      <w:lvlJc w:val="left"/>
      <w:rPr>
        <w:rFonts w:hint="eastAsia"/>
      </w:rPr>
    </w:lvl>
  </w:abstractNum>
  <w:abstractNum w:abstractNumId="8">
    <w:nsid w:val="5B67767D"/>
    <w:multiLevelType w:val="singleLevel"/>
    <w:tmpl w:val="5B67767D"/>
    <w:lvl w:ilvl="0" w:tentative="0">
      <w:start w:val="1"/>
      <w:numFmt w:val="decimal"/>
      <w:suff w:val="nothing"/>
      <w:lvlText w:val="（%1）"/>
      <w:lvlJc w:val="left"/>
    </w:lvl>
  </w:abstractNum>
  <w:num w:numId="1">
    <w:abstractNumId w:val="8"/>
  </w:num>
  <w:num w:numId="2">
    <w:abstractNumId w:val="0"/>
  </w:num>
  <w:num w:numId="3">
    <w:abstractNumId w:val="4"/>
  </w:num>
  <w:num w:numId="4">
    <w:abstractNumId w:val="2"/>
  </w:num>
  <w:num w:numId="5">
    <w:abstractNumId w:val="6"/>
  </w:num>
  <w:num w:numId="6">
    <w:abstractNumId w:val="1"/>
  </w:num>
  <w:num w:numId="7">
    <w:abstractNumId w:val="3"/>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bordersDoNotSurroundHeader w:val="0"/>
  <w:bordersDoNotSurroundFooter w:val="0"/>
  <w:hideSpellingErrors/>
  <w:documentProtection w:enforcement="0"/>
  <w:defaultTabStop w:val="420"/>
  <w:drawingGridVerticalSpacing w:val="194"/>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6C2"/>
    <w:rsid w:val="00007958"/>
    <w:rsid w:val="00010C96"/>
    <w:rsid w:val="00021129"/>
    <w:rsid w:val="0002652D"/>
    <w:rsid w:val="00030480"/>
    <w:rsid w:val="0004313C"/>
    <w:rsid w:val="00047600"/>
    <w:rsid w:val="00052BDB"/>
    <w:rsid w:val="00055C92"/>
    <w:rsid w:val="00056DDB"/>
    <w:rsid w:val="00057EB4"/>
    <w:rsid w:val="00064813"/>
    <w:rsid w:val="00091619"/>
    <w:rsid w:val="00093603"/>
    <w:rsid w:val="000A460D"/>
    <w:rsid w:val="000A46CA"/>
    <w:rsid w:val="000B628D"/>
    <w:rsid w:val="000B7CF4"/>
    <w:rsid w:val="000B7F3E"/>
    <w:rsid w:val="000C1E0C"/>
    <w:rsid w:val="000D0441"/>
    <w:rsid w:val="000D5277"/>
    <w:rsid w:val="000E239A"/>
    <w:rsid w:val="000F6430"/>
    <w:rsid w:val="00101AA4"/>
    <w:rsid w:val="00106C7F"/>
    <w:rsid w:val="00107A47"/>
    <w:rsid w:val="00110F4A"/>
    <w:rsid w:val="0011363D"/>
    <w:rsid w:val="00115F49"/>
    <w:rsid w:val="0011785B"/>
    <w:rsid w:val="00117CB1"/>
    <w:rsid w:val="0012133B"/>
    <w:rsid w:val="00126917"/>
    <w:rsid w:val="00141284"/>
    <w:rsid w:val="0015521F"/>
    <w:rsid w:val="00155393"/>
    <w:rsid w:val="001561C7"/>
    <w:rsid w:val="001612D1"/>
    <w:rsid w:val="001633CD"/>
    <w:rsid w:val="00163D50"/>
    <w:rsid w:val="00165E98"/>
    <w:rsid w:val="001661FF"/>
    <w:rsid w:val="00167E31"/>
    <w:rsid w:val="001732FA"/>
    <w:rsid w:val="00173E59"/>
    <w:rsid w:val="001A0990"/>
    <w:rsid w:val="001A3523"/>
    <w:rsid w:val="001B26D2"/>
    <w:rsid w:val="001B7818"/>
    <w:rsid w:val="001D0A9E"/>
    <w:rsid w:val="001D64FE"/>
    <w:rsid w:val="001D69BA"/>
    <w:rsid w:val="001E6631"/>
    <w:rsid w:val="001F46D1"/>
    <w:rsid w:val="002145A9"/>
    <w:rsid w:val="00224A13"/>
    <w:rsid w:val="00230A8A"/>
    <w:rsid w:val="002348D3"/>
    <w:rsid w:val="00242832"/>
    <w:rsid w:val="0024707B"/>
    <w:rsid w:val="002521CD"/>
    <w:rsid w:val="002756C2"/>
    <w:rsid w:val="002863E6"/>
    <w:rsid w:val="00291486"/>
    <w:rsid w:val="00292D62"/>
    <w:rsid w:val="00294AAA"/>
    <w:rsid w:val="002A31CD"/>
    <w:rsid w:val="002A5452"/>
    <w:rsid w:val="002B6522"/>
    <w:rsid w:val="002C0480"/>
    <w:rsid w:val="002E07FD"/>
    <w:rsid w:val="002E08EA"/>
    <w:rsid w:val="00302300"/>
    <w:rsid w:val="00302536"/>
    <w:rsid w:val="003077EB"/>
    <w:rsid w:val="00326A0F"/>
    <w:rsid w:val="00330000"/>
    <w:rsid w:val="00336753"/>
    <w:rsid w:val="003371C0"/>
    <w:rsid w:val="003409DD"/>
    <w:rsid w:val="00344D5F"/>
    <w:rsid w:val="00354544"/>
    <w:rsid w:val="00364E8F"/>
    <w:rsid w:val="00373BE1"/>
    <w:rsid w:val="00393C2F"/>
    <w:rsid w:val="003B6E71"/>
    <w:rsid w:val="003C2BAD"/>
    <w:rsid w:val="003D02D8"/>
    <w:rsid w:val="003D6921"/>
    <w:rsid w:val="003F13A7"/>
    <w:rsid w:val="003F381A"/>
    <w:rsid w:val="00400C08"/>
    <w:rsid w:val="00427045"/>
    <w:rsid w:val="00436797"/>
    <w:rsid w:val="00442514"/>
    <w:rsid w:val="00446704"/>
    <w:rsid w:val="00456E56"/>
    <w:rsid w:val="00461F8C"/>
    <w:rsid w:val="0046536E"/>
    <w:rsid w:val="0046653F"/>
    <w:rsid w:val="00483481"/>
    <w:rsid w:val="004A14B8"/>
    <w:rsid w:val="004A5FC0"/>
    <w:rsid w:val="004F1DE3"/>
    <w:rsid w:val="004F23DB"/>
    <w:rsid w:val="005055A7"/>
    <w:rsid w:val="00515431"/>
    <w:rsid w:val="00516810"/>
    <w:rsid w:val="0053557B"/>
    <w:rsid w:val="00551228"/>
    <w:rsid w:val="00552D74"/>
    <w:rsid w:val="00557A8C"/>
    <w:rsid w:val="0057760C"/>
    <w:rsid w:val="00597744"/>
    <w:rsid w:val="005A19CF"/>
    <w:rsid w:val="005A1CD2"/>
    <w:rsid w:val="005A5D91"/>
    <w:rsid w:val="005B0170"/>
    <w:rsid w:val="005B3B8D"/>
    <w:rsid w:val="005B62B7"/>
    <w:rsid w:val="005B708E"/>
    <w:rsid w:val="005C7277"/>
    <w:rsid w:val="005C7FA4"/>
    <w:rsid w:val="005D04ED"/>
    <w:rsid w:val="005D4709"/>
    <w:rsid w:val="005E3B23"/>
    <w:rsid w:val="005E6C5C"/>
    <w:rsid w:val="005E715A"/>
    <w:rsid w:val="005E7CBC"/>
    <w:rsid w:val="0063643D"/>
    <w:rsid w:val="00636F1F"/>
    <w:rsid w:val="00654BA5"/>
    <w:rsid w:val="006551BD"/>
    <w:rsid w:val="00655ACD"/>
    <w:rsid w:val="006607A7"/>
    <w:rsid w:val="00665FEE"/>
    <w:rsid w:val="0066711C"/>
    <w:rsid w:val="0067154E"/>
    <w:rsid w:val="00671BFC"/>
    <w:rsid w:val="0067796B"/>
    <w:rsid w:val="00695FD6"/>
    <w:rsid w:val="006A78F0"/>
    <w:rsid w:val="006C17F8"/>
    <w:rsid w:val="006D15A0"/>
    <w:rsid w:val="006D5D39"/>
    <w:rsid w:val="006E2508"/>
    <w:rsid w:val="00701E94"/>
    <w:rsid w:val="0070742C"/>
    <w:rsid w:val="00724D5F"/>
    <w:rsid w:val="00730328"/>
    <w:rsid w:val="00735E21"/>
    <w:rsid w:val="00741D22"/>
    <w:rsid w:val="007521C7"/>
    <w:rsid w:val="007535FB"/>
    <w:rsid w:val="00757B2B"/>
    <w:rsid w:val="00760830"/>
    <w:rsid w:val="00763798"/>
    <w:rsid w:val="007717CB"/>
    <w:rsid w:val="00772E33"/>
    <w:rsid w:val="00785620"/>
    <w:rsid w:val="007968E9"/>
    <w:rsid w:val="007A2A0B"/>
    <w:rsid w:val="007A5B6D"/>
    <w:rsid w:val="007C086A"/>
    <w:rsid w:val="007C2588"/>
    <w:rsid w:val="007C7247"/>
    <w:rsid w:val="007D6D67"/>
    <w:rsid w:val="007F0D7C"/>
    <w:rsid w:val="007F13A0"/>
    <w:rsid w:val="007F6850"/>
    <w:rsid w:val="00801B6E"/>
    <w:rsid w:val="008149C1"/>
    <w:rsid w:val="00837534"/>
    <w:rsid w:val="00837FD4"/>
    <w:rsid w:val="00840916"/>
    <w:rsid w:val="0084720A"/>
    <w:rsid w:val="00862B06"/>
    <w:rsid w:val="00875632"/>
    <w:rsid w:val="00875E42"/>
    <w:rsid w:val="00876DFF"/>
    <w:rsid w:val="008874CF"/>
    <w:rsid w:val="008B2D79"/>
    <w:rsid w:val="008C4FA7"/>
    <w:rsid w:val="008D17FE"/>
    <w:rsid w:val="008E2F00"/>
    <w:rsid w:val="008F05F9"/>
    <w:rsid w:val="008F7DE0"/>
    <w:rsid w:val="00910B95"/>
    <w:rsid w:val="0091288C"/>
    <w:rsid w:val="00957221"/>
    <w:rsid w:val="00965340"/>
    <w:rsid w:val="009741FB"/>
    <w:rsid w:val="0098370A"/>
    <w:rsid w:val="00990E6F"/>
    <w:rsid w:val="009914DC"/>
    <w:rsid w:val="00991D34"/>
    <w:rsid w:val="00993B8A"/>
    <w:rsid w:val="009A019C"/>
    <w:rsid w:val="009A683C"/>
    <w:rsid w:val="009C3CD1"/>
    <w:rsid w:val="009D0FD5"/>
    <w:rsid w:val="009D6544"/>
    <w:rsid w:val="009D6D19"/>
    <w:rsid w:val="009D6F47"/>
    <w:rsid w:val="009E3A27"/>
    <w:rsid w:val="009F22D9"/>
    <w:rsid w:val="00A1029D"/>
    <w:rsid w:val="00A15561"/>
    <w:rsid w:val="00A15C80"/>
    <w:rsid w:val="00A2112D"/>
    <w:rsid w:val="00A24531"/>
    <w:rsid w:val="00A27F78"/>
    <w:rsid w:val="00A32EE9"/>
    <w:rsid w:val="00A40343"/>
    <w:rsid w:val="00A50213"/>
    <w:rsid w:val="00A50DE8"/>
    <w:rsid w:val="00A53707"/>
    <w:rsid w:val="00A64A18"/>
    <w:rsid w:val="00A670B7"/>
    <w:rsid w:val="00A7570B"/>
    <w:rsid w:val="00A83709"/>
    <w:rsid w:val="00A86815"/>
    <w:rsid w:val="00A905A0"/>
    <w:rsid w:val="00A935FE"/>
    <w:rsid w:val="00AB0929"/>
    <w:rsid w:val="00AB6590"/>
    <w:rsid w:val="00AC4CBC"/>
    <w:rsid w:val="00AE330A"/>
    <w:rsid w:val="00AE5298"/>
    <w:rsid w:val="00AF15AB"/>
    <w:rsid w:val="00B30BFB"/>
    <w:rsid w:val="00B44A49"/>
    <w:rsid w:val="00B53A80"/>
    <w:rsid w:val="00B57179"/>
    <w:rsid w:val="00B715DB"/>
    <w:rsid w:val="00B72278"/>
    <w:rsid w:val="00B77934"/>
    <w:rsid w:val="00B82593"/>
    <w:rsid w:val="00B82720"/>
    <w:rsid w:val="00B82F41"/>
    <w:rsid w:val="00BA06F6"/>
    <w:rsid w:val="00BA1F9F"/>
    <w:rsid w:val="00BA763B"/>
    <w:rsid w:val="00BB19C1"/>
    <w:rsid w:val="00BB3345"/>
    <w:rsid w:val="00BB562A"/>
    <w:rsid w:val="00BC38EF"/>
    <w:rsid w:val="00BD694F"/>
    <w:rsid w:val="00BE7363"/>
    <w:rsid w:val="00BF3D93"/>
    <w:rsid w:val="00C03F71"/>
    <w:rsid w:val="00C12BDC"/>
    <w:rsid w:val="00C13A3B"/>
    <w:rsid w:val="00C20741"/>
    <w:rsid w:val="00C22F49"/>
    <w:rsid w:val="00C43C9E"/>
    <w:rsid w:val="00C52E02"/>
    <w:rsid w:val="00C535B0"/>
    <w:rsid w:val="00C625DC"/>
    <w:rsid w:val="00C82873"/>
    <w:rsid w:val="00C8430B"/>
    <w:rsid w:val="00C86B75"/>
    <w:rsid w:val="00C86D8F"/>
    <w:rsid w:val="00C95F8E"/>
    <w:rsid w:val="00C97F8C"/>
    <w:rsid w:val="00CA38FF"/>
    <w:rsid w:val="00CB244D"/>
    <w:rsid w:val="00CB3A3B"/>
    <w:rsid w:val="00CC3C90"/>
    <w:rsid w:val="00CD2AC4"/>
    <w:rsid w:val="00CE6059"/>
    <w:rsid w:val="00CE7D52"/>
    <w:rsid w:val="00CF2E8D"/>
    <w:rsid w:val="00CF4337"/>
    <w:rsid w:val="00CF4823"/>
    <w:rsid w:val="00D0781D"/>
    <w:rsid w:val="00D2718A"/>
    <w:rsid w:val="00D304D0"/>
    <w:rsid w:val="00D37E26"/>
    <w:rsid w:val="00D431EF"/>
    <w:rsid w:val="00D7106A"/>
    <w:rsid w:val="00D72D24"/>
    <w:rsid w:val="00D80562"/>
    <w:rsid w:val="00D95FE2"/>
    <w:rsid w:val="00DA2BAF"/>
    <w:rsid w:val="00DA6307"/>
    <w:rsid w:val="00DB1AB2"/>
    <w:rsid w:val="00DB57C6"/>
    <w:rsid w:val="00DB6B8F"/>
    <w:rsid w:val="00DD0185"/>
    <w:rsid w:val="00DE1B35"/>
    <w:rsid w:val="00DE66B8"/>
    <w:rsid w:val="00DF2AA9"/>
    <w:rsid w:val="00E473E9"/>
    <w:rsid w:val="00E52D09"/>
    <w:rsid w:val="00E5383F"/>
    <w:rsid w:val="00E61528"/>
    <w:rsid w:val="00E65E73"/>
    <w:rsid w:val="00EA4391"/>
    <w:rsid w:val="00EA58A7"/>
    <w:rsid w:val="00EA65C3"/>
    <w:rsid w:val="00EA75CC"/>
    <w:rsid w:val="00EA791B"/>
    <w:rsid w:val="00EB1636"/>
    <w:rsid w:val="00EB2131"/>
    <w:rsid w:val="00EB51DC"/>
    <w:rsid w:val="00EC188A"/>
    <w:rsid w:val="00EC662D"/>
    <w:rsid w:val="00EE44F5"/>
    <w:rsid w:val="00EE457E"/>
    <w:rsid w:val="00EF4EA1"/>
    <w:rsid w:val="00F00645"/>
    <w:rsid w:val="00F01B6F"/>
    <w:rsid w:val="00F06B1E"/>
    <w:rsid w:val="00F14EC2"/>
    <w:rsid w:val="00F15052"/>
    <w:rsid w:val="00F219FB"/>
    <w:rsid w:val="00F21B3C"/>
    <w:rsid w:val="00F23D01"/>
    <w:rsid w:val="00F30DA4"/>
    <w:rsid w:val="00F4022C"/>
    <w:rsid w:val="00F44B76"/>
    <w:rsid w:val="00F60BFA"/>
    <w:rsid w:val="00F75A09"/>
    <w:rsid w:val="00F8290D"/>
    <w:rsid w:val="00F8341F"/>
    <w:rsid w:val="00F864B0"/>
    <w:rsid w:val="00F969CE"/>
    <w:rsid w:val="00FA74D5"/>
    <w:rsid w:val="00FB4572"/>
    <w:rsid w:val="00FB56DD"/>
    <w:rsid w:val="00FB603D"/>
    <w:rsid w:val="00FC460F"/>
    <w:rsid w:val="00FD1C40"/>
    <w:rsid w:val="00FD1FF7"/>
    <w:rsid w:val="00FE0216"/>
    <w:rsid w:val="00FF4069"/>
    <w:rsid w:val="016958BD"/>
    <w:rsid w:val="01C74B5C"/>
    <w:rsid w:val="01F80A2E"/>
    <w:rsid w:val="02C17A6B"/>
    <w:rsid w:val="02D65D16"/>
    <w:rsid w:val="03A73C8A"/>
    <w:rsid w:val="04B9609B"/>
    <w:rsid w:val="05A27F69"/>
    <w:rsid w:val="06082BC6"/>
    <w:rsid w:val="073613A5"/>
    <w:rsid w:val="074E5994"/>
    <w:rsid w:val="075E7200"/>
    <w:rsid w:val="0778214B"/>
    <w:rsid w:val="07C32E52"/>
    <w:rsid w:val="08097737"/>
    <w:rsid w:val="08C92E02"/>
    <w:rsid w:val="08D72482"/>
    <w:rsid w:val="09156991"/>
    <w:rsid w:val="09164B93"/>
    <w:rsid w:val="09E66136"/>
    <w:rsid w:val="0AEF2F6A"/>
    <w:rsid w:val="0B361ECD"/>
    <w:rsid w:val="0BAE3696"/>
    <w:rsid w:val="0BBB6532"/>
    <w:rsid w:val="0BD033FB"/>
    <w:rsid w:val="0BE65FF9"/>
    <w:rsid w:val="0D6F5B54"/>
    <w:rsid w:val="0E065314"/>
    <w:rsid w:val="0E3A5F0D"/>
    <w:rsid w:val="0EF54A4C"/>
    <w:rsid w:val="10361FE1"/>
    <w:rsid w:val="107715B3"/>
    <w:rsid w:val="10A50E07"/>
    <w:rsid w:val="10C45B32"/>
    <w:rsid w:val="10DA112E"/>
    <w:rsid w:val="10FF0D4A"/>
    <w:rsid w:val="11364C73"/>
    <w:rsid w:val="11475342"/>
    <w:rsid w:val="11F06D24"/>
    <w:rsid w:val="130B1CC1"/>
    <w:rsid w:val="13573560"/>
    <w:rsid w:val="13E451C6"/>
    <w:rsid w:val="148329FB"/>
    <w:rsid w:val="14E8319E"/>
    <w:rsid w:val="155A3ACA"/>
    <w:rsid w:val="15E46A72"/>
    <w:rsid w:val="15F11432"/>
    <w:rsid w:val="16052F44"/>
    <w:rsid w:val="171C36DD"/>
    <w:rsid w:val="1758147E"/>
    <w:rsid w:val="181F568B"/>
    <w:rsid w:val="191647CC"/>
    <w:rsid w:val="1A695DE4"/>
    <w:rsid w:val="1A910F55"/>
    <w:rsid w:val="1B22221D"/>
    <w:rsid w:val="1B3F7358"/>
    <w:rsid w:val="1B8025D4"/>
    <w:rsid w:val="1BCC3AF6"/>
    <w:rsid w:val="1BFC9E46"/>
    <w:rsid w:val="1C142E7A"/>
    <w:rsid w:val="1C173580"/>
    <w:rsid w:val="1C9F1BE6"/>
    <w:rsid w:val="1D2705B5"/>
    <w:rsid w:val="1D272AA1"/>
    <w:rsid w:val="1D3619AC"/>
    <w:rsid w:val="1DA17285"/>
    <w:rsid w:val="1E556186"/>
    <w:rsid w:val="1F7462C2"/>
    <w:rsid w:val="1F845526"/>
    <w:rsid w:val="1FE2156D"/>
    <w:rsid w:val="20257578"/>
    <w:rsid w:val="20257824"/>
    <w:rsid w:val="20442431"/>
    <w:rsid w:val="20457101"/>
    <w:rsid w:val="20F32AB5"/>
    <w:rsid w:val="21A24B06"/>
    <w:rsid w:val="220429E6"/>
    <w:rsid w:val="22250D96"/>
    <w:rsid w:val="224232A4"/>
    <w:rsid w:val="22960469"/>
    <w:rsid w:val="23C74CAB"/>
    <w:rsid w:val="2485792D"/>
    <w:rsid w:val="24A63B75"/>
    <w:rsid w:val="24C50CC1"/>
    <w:rsid w:val="24DF6949"/>
    <w:rsid w:val="25027BA4"/>
    <w:rsid w:val="25244800"/>
    <w:rsid w:val="26B21EF6"/>
    <w:rsid w:val="285B1577"/>
    <w:rsid w:val="287C663F"/>
    <w:rsid w:val="291F1CAC"/>
    <w:rsid w:val="292B5751"/>
    <w:rsid w:val="29643E41"/>
    <w:rsid w:val="2A8D1A79"/>
    <w:rsid w:val="2AF41A59"/>
    <w:rsid w:val="2B351E76"/>
    <w:rsid w:val="2B757DD7"/>
    <w:rsid w:val="2BE01012"/>
    <w:rsid w:val="2C444B32"/>
    <w:rsid w:val="2C9F1E14"/>
    <w:rsid w:val="2CFD5141"/>
    <w:rsid w:val="2D94665A"/>
    <w:rsid w:val="2DCB29E8"/>
    <w:rsid w:val="2E090B97"/>
    <w:rsid w:val="2E35555B"/>
    <w:rsid w:val="2F5C030B"/>
    <w:rsid w:val="317B4CAB"/>
    <w:rsid w:val="31CA2E56"/>
    <w:rsid w:val="31EE3C38"/>
    <w:rsid w:val="325654AC"/>
    <w:rsid w:val="339545FD"/>
    <w:rsid w:val="33B07BC0"/>
    <w:rsid w:val="33B77ACB"/>
    <w:rsid w:val="33FD7B31"/>
    <w:rsid w:val="34F95DBC"/>
    <w:rsid w:val="35151416"/>
    <w:rsid w:val="35EE4A8F"/>
    <w:rsid w:val="36173D06"/>
    <w:rsid w:val="36F00B92"/>
    <w:rsid w:val="37193922"/>
    <w:rsid w:val="37903858"/>
    <w:rsid w:val="385703E0"/>
    <w:rsid w:val="38573024"/>
    <w:rsid w:val="38C25A49"/>
    <w:rsid w:val="393E2886"/>
    <w:rsid w:val="394D17E2"/>
    <w:rsid w:val="39851B32"/>
    <w:rsid w:val="39890271"/>
    <w:rsid w:val="39F92A20"/>
    <w:rsid w:val="3AC834DC"/>
    <w:rsid w:val="3B4B7AF7"/>
    <w:rsid w:val="3BDE5AFA"/>
    <w:rsid w:val="3C083DB0"/>
    <w:rsid w:val="3C2E6C71"/>
    <w:rsid w:val="3E4941FE"/>
    <w:rsid w:val="3E4C334A"/>
    <w:rsid w:val="3E641B11"/>
    <w:rsid w:val="3E8C179A"/>
    <w:rsid w:val="3EE93552"/>
    <w:rsid w:val="3EED0803"/>
    <w:rsid w:val="3EFB84F5"/>
    <w:rsid w:val="3F191997"/>
    <w:rsid w:val="3F400F71"/>
    <w:rsid w:val="3FF8F774"/>
    <w:rsid w:val="40593161"/>
    <w:rsid w:val="40DC4095"/>
    <w:rsid w:val="417D4BA0"/>
    <w:rsid w:val="42996AA0"/>
    <w:rsid w:val="42BC1A52"/>
    <w:rsid w:val="42DC7CCF"/>
    <w:rsid w:val="44110A5A"/>
    <w:rsid w:val="44E020DF"/>
    <w:rsid w:val="45142406"/>
    <w:rsid w:val="45E44C26"/>
    <w:rsid w:val="469C3E51"/>
    <w:rsid w:val="4781006D"/>
    <w:rsid w:val="47B96EB6"/>
    <w:rsid w:val="47D27239"/>
    <w:rsid w:val="480C0152"/>
    <w:rsid w:val="48D814BD"/>
    <w:rsid w:val="49E1211F"/>
    <w:rsid w:val="49F205BA"/>
    <w:rsid w:val="4B2737BF"/>
    <w:rsid w:val="4B443676"/>
    <w:rsid w:val="4BB422CE"/>
    <w:rsid w:val="4BC82D35"/>
    <w:rsid w:val="4D544669"/>
    <w:rsid w:val="4D697B02"/>
    <w:rsid w:val="4D890B58"/>
    <w:rsid w:val="4DA92451"/>
    <w:rsid w:val="4E3106D9"/>
    <w:rsid w:val="4EBD0EBF"/>
    <w:rsid w:val="4FC866A0"/>
    <w:rsid w:val="50826336"/>
    <w:rsid w:val="50A419C1"/>
    <w:rsid w:val="518F7115"/>
    <w:rsid w:val="52E470B8"/>
    <w:rsid w:val="52ED0F8E"/>
    <w:rsid w:val="5330571B"/>
    <w:rsid w:val="54505E5D"/>
    <w:rsid w:val="546777AA"/>
    <w:rsid w:val="54BF7735"/>
    <w:rsid w:val="55CB116A"/>
    <w:rsid w:val="5669760B"/>
    <w:rsid w:val="56760D11"/>
    <w:rsid w:val="56943930"/>
    <w:rsid w:val="56B34808"/>
    <w:rsid w:val="56E51092"/>
    <w:rsid w:val="57176DAA"/>
    <w:rsid w:val="572E17DC"/>
    <w:rsid w:val="588B524D"/>
    <w:rsid w:val="58F13538"/>
    <w:rsid w:val="59A906FA"/>
    <w:rsid w:val="59FC433A"/>
    <w:rsid w:val="5A041CB5"/>
    <w:rsid w:val="5AD227C1"/>
    <w:rsid w:val="5AD63BC8"/>
    <w:rsid w:val="5B9A4DE4"/>
    <w:rsid w:val="5B9D1975"/>
    <w:rsid w:val="5BFBFDC9"/>
    <w:rsid w:val="5C877E85"/>
    <w:rsid w:val="5D5114D2"/>
    <w:rsid w:val="5D9951C9"/>
    <w:rsid w:val="5DDC67F5"/>
    <w:rsid w:val="5E587722"/>
    <w:rsid w:val="60A016F7"/>
    <w:rsid w:val="60B5762E"/>
    <w:rsid w:val="61860E0C"/>
    <w:rsid w:val="62481BDB"/>
    <w:rsid w:val="624C163E"/>
    <w:rsid w:val="62865947"/>
    <w:rsid w:val="631A0F05"/>
    <w:rsid w:val="63A0227C"/>
    <w:rsid w:val="63CF7F86"/>
    <w:rsid w:val="64A322C0"/>
    <w:rsid w:val="64CF67F0"/>
    <w:rsid w:val="65BF4C48"/>
    <w:rsid w:val="678B3468"/>
    <w:rsid w:val="68141B1F"/>
    <w:rsid w:val="68C5524B"/>
    <w:rsid w:val="6A0A261E"/>
    <w:rsid w:val="6A61486C"/>
    <w:rsid w:val="6A82133A"/>
    <w:rsid w:val="6A850631"/>
    <w:rsid w:val="6AFA7696"/>
    <w:rsid w:val="6B9A486D"/>
    <w:rsid w:val="6BC669BF"/>
    <w:rsid w:val="6CB051FB"/>
    <w:rsid w:val="6DB55884"/>
    <w:rsid w:val="6E473068"/>
    <w:rsid w:val="6EB91C7E"/>
    <w:rsid w:val="6EEE03F1"/>
    <w:rsid w:val="6F647EBE"/>
    <w:rsid w:val="6F6E1937"/>
    <w:rsid w:val="6F96331F"/>
    <w:rsid w:val="6FBB6D0B"/>
    <w:rsid w:val="7126006A"/>
    <w:rsid w:val="72351DF2"/>
    <w:rsid w:val="72860C46"/>
    <w:rsid w:val="72C4300A"/>
    <w:rsid w:val="731F7E44"/>
    <w:rsid w:val="7355104B"/>
    <w:rsid w:val="73A16B7B"/>
    <w:rsid w:val="74890C26"/>
    <w:rsid w:val="748F3935"/>
    <w:rsid w:val="75423C49"/>
    <w:rsid w:val="75510E43"/>
    <w:rsid w:val="76634B14"/>
    <w:rsid w:val="76F973A9"/>
    <w:rsid w:val="772A7F6C"/>
    <w:rsid w:val="78A03081"/>
    <w:rsid w:val="78AE4D5A"/>
    <w:rsid w:val="78C62893"/>
    <w:rsid w:val="78D4738E"/>
    <w:rsid w:val="79F73A88"/>
    <w:rsid w:val="7A334ED9"/>
    <w:rsid w:val="7A551E16"/>
    <w:rsid w:val="7A9202C9"/>
    <w:rsid w:val="7AC27CDC"/>
    <w:rsid w:val="7AF9106B"/>
    <w:rsid w:val="7B54097A"/>
    <w:rsid w:val="7C0F3E4E"/>
    <w:rsid w:val="7C1168B8"/>
    <w:rsid w:val="7CAC231F"/>
    <w:rsid w:val="7D1D4F2E"/>
    <w:rsid w:val="7D953569"/>
    <w:rsid w:val="7E622E16"/>
    <w:rsid w:val="7E695EF3"/>
    <w:rsid w:val="7E7E042B"/>
    <w:rsid w:val="7F0452EE"/>
    <w:rsid w:val="7F4C112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nhideWhenUsed="0" w:uiPriority="0"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360" w:lineRule="auto"/>
      <w:ind w:firstLine="200" w:firstLineChars="200"/>
      <w:jc w:val="both"/>
    </w:pPr>
    <w:rPr>
      <w:rFonts w:ascii="Times New Roman" w:hAnsi="Times New Roman" w:eastAsia="宋体" w:cs="Times New Roman"/>
      <w:kern w:val="2"/>
      <w:sz w:val="28"/>
      <w:szCs w:val="22"/>
      <w:lang w:val="en-US" w:eastAsia="zh-CN" w:bidi="ar-SA"/>
    </w:rPr>
  </w:style>
  <w:style w:type="paragraph" w:styleId="3">
    <w:name w:val="heading 1"/>
    <w:basedOn w:val="1"/>
    <w:next w:val="1"/>
    <w:link w:val="32"/>
    <w:qFormat/>
    <w:uiPriority w:val="0"/>
    <w:pPr>
      <w:keepNext/>
      <w:keepLines/>
      <w:spacing w:before="340" w:after="330" w:line="578" w:lineRule="auto"/>
      <w:outlineLvl w:val="0"/>
    </w:pPr>
    <w:rPr>
      <w:b/>
      <w:bCs/>
      <w:kern w:val="44"/>
      <w:sz w:val="44"/>
      <w:szCs w:val="44"/>
    </w:rPr>
  </w:style>
  <w:style w:type="paragraph" w:styleId="4">
    <w:name w:val="heading 2"/>
    <w:basedOn w:val="1"/>
    <w:next w:val="1"/>
    <w:link w:val="34"/>
    <w:qFormat/>
    <w:uiPriority w:val="0"/>
    <w:pPr>
      <w:keepNext/>
      <w:keepLines/>
      <w:spacing w:before="260" w:after="260" w:line="416" w:lineRule="auto"/>
      <w:outlineLvl w:val="1"/>
    </w:pPr>
    <w:rPr>
      <w:rFonts w:ascii="Arial" w:hAnsi="Arial" w:eastAsia="黑体"/>
      <w:b/>
      <w:bCs/>
      <w:szCs w:val="32"/>
    </w:rPr>
  </w:style>
  <w:style w:type="paragraph" w:styleId="5">
    <w:name w:val="heading 3"/>
    <w:basedOn w:val="1"/>
    <w:next w:val="1"/>
    <w:link w:val="35"/>
    <w:qFormat/>
    <w:uiPriority w:val="0"/>
    <w:pPr>
      <w:keepNext/>
      <w:keepLines/>
      <w:spacing w:line="416" w:lineRule="auto"/>
      <w:outlineLvl w:val="2"/>
    </w:pPr>
    <w:rPr>
      <w:rFonts w:ascii="Calibri" w:hAnsi="Calibri"/>
      <w:b/>
      <w:bCs/>
      <w:sz w:val="24"/>
      <w:szCs w:val="32"/>
    </w:rPr>
  </w:style>
  <w:style w:type="paragraph" w:styleId="6">
    <w:name w:val="heading 4"/>
    <w:basedOn w:val="1"/>
    <w:next w:val="1"/>
    <w:link w:val="33"/>
    <w:qFormat/>
    <w:uiPriority w:val="0"/>
    <w:pPr>
      <w:keepNext/>
      <w:keepLines/>
      <w:spacing w:before="280" w:after="290" w:line="376" w:lineRule="auto"/>
      <w:outlineLvl w:val="3"/>
    </w:pPr>
    <w:rPr>
      <w:rFonts w:ascii="Arial" w:hAnsi="Arial" w:eastAsia="黑体"/>
      <w:b/>
      <w:bCs/>
      <w:szCs w:val="28"/>
    </w:rPr>
  </w:style>
  <w:style w:type="character" w:default="1" w:styleId="25">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38"/>
    <w:qFormat/>
    <w:uiPriority w:val="0"/>
    <w:pPr>
      <w:spacing w:after="120" w:line="440" w:lineRule="exact"/>
      <w:jc w:val="left"/>
    </w:pPr>
    <w:rPr>
      <w:rFonts w:asciiTheme="minorHAnsi" w:hAnsiTheme="minorHAnsi" w:eastAsiaTheme="minorEastAsia" w:cstheme="minorBidi"/>
      <w:sz w:val="21"/>
      <w:szCs w:val="24"/>
    </w:rPr>
  </w:style>
  <w:style w:type="paragraph" w:styleId="7">
    <w:name w:val="Normal Indent"/>
    <w:basedOn w:val="1"/>
    <w:next w:val="1"/>
    <w:qFormat/>
    <w:uiPriority w:val="0"/>
    <w:pPr>
      <w:ind w:firstLine="420"/>
    </w:pPr>
    <w:rPr>
      <w:szCs w:val="24"/>
    </w:rPr>
  </w:style>
  <w:style w:type="paragraph" w:styleId="8">
    <w:name w:val="annotation text"/>
    <w:basedOn w:val="1"/>
    <w:link w:val="36"/>
    <w:qFormat/>
    <w:uiPriority w:val="0"/>
    <w:pPr>
      <w:spacing w:line="440" w:lineRule="exact"/>
      <w:jc w:val="left"/>
    </w:pPr>
    <w:rPr>
      <w:rFonts w:asciiTheme="minorHAnsi" w:hAnsiTheme="minorHAnsi" w:eastAsiaTheme="minorEastAsia" w:cstheme="minorBidi"/>
      <w:sz w:val="24"/>
      <w:szCs w:val="24"/>
    </w:rPr>
  </w:style>
  <w:style w:type="paragraph" w:styleId="9">
    <w:name w:val="Body Text 3"/>
    <w:basedOn w:val="1"/>
    <w:link w:val="37"/>
    <w:qFormat/>
    <w:uiPriority w:val="0"/>
    <w:pPr>
      <w:spacing w:after="120" w:line="440" w:lineRule="exact"/>
      <w:jc w:val="left"/>
    </w:pPr>
    <w:rPr>
      <w:rFonts w:asciiTheme="minorHAnsi" w:hAnsiTheme="minorHAnsi" w:eastAsiaTheme="minorEastAsia" w:cstheme="minorBidi"/>
      <w:sz w:val="16"/>
      <w:szCs w:val="16"/>
    </w:rPr>
  </w:style>
  <w:style w:type="paragraph" w:styleId="10">
    <w:name w:val="Body Text Indent"/>
    <w:basedOn w:val="1"/>
    <w:link w:val="39"/>
    <w:qFormat/>
    <w:uiPriority w:val="0"/>
    <w:pPr>
      <w:spacing w:after="120" w:line="440" w:lineRule="exact"/>
      <w:ind w:left="420" w:leftChars="200"/>
      <w:jc w:val="left"/>
    </w:pPr>
    <w:rPr>
      <w:rFonts w:asciiTheme="minorHAnsi" w:hAnsiTheme="minorHAnsi" w:eastAsiaTheme="minorEastAsia" w:cstheme="minorBidi"/>
      <w:sz w:val="24"/>
      <w:szCs w:val="24"/>
    </w:rPr>
  </w:style>
  <w:style w:type="paragraph" w:styleId="11">
    <w:name w:val="toc 3"/>
    <w:basedOn w:val="1"/>
    <w:next w:val="1"/>
    <w:qFormat/>
    <w:uiPriority w:val="39"/>
    <w:pPr>
      <w:ind w:left="840" w:leftChars="400"/>
    </w:pPr>
    <w:rPr>
      <w:szCs w:val="24"/>
    </w:rPr>
  </w:style>
  <w:style w:type="paragraph" w:styleId="12">
    <w:name w:val="Plain Text"/>
    <w:basedOn w:val="1"/>
    <w:link w:val="40"/>
    <w:qFormat/>
    <w:uiPriority w:val="0"/>
    <w:rPr>
      <w:rFonts w:hint="eastAsia" w:ascii="宋体" w:hAnsi="Courier New"/>
      <w:szCs w:val="20"/>
    </w:rPr>
  </w:style>
  <w:style w:type="paragraph" w:styleId="13">
    <w:name w:val="Date"/>
    <w:basedOn w:val="1"/>
    <w:next w:val="1"/>
    <w:link w:val="41"/>
    <w:qFormat/>
    <w:uiPriority w:val="0"/>
    <w:pPr>
      <w:ind w:left="100" w:leftChars="2500"/>
    </w:pPr>
    <w:rPr>
      <w:rFonts w:asciiTheme="minorHAnsi" w:hAnsiTheme="minorHAnsi" w:eastAsiaTheme="minorEastAsia" w:cstheme="minorBidi"/>
      <w:sz w:val="21"/>
      <w:szCs w:val="24"/>
    </w:rPr>
  </w:style>
  <w:style w:type="paragraph" w:styleId="14">
    <w:name w:val="Body Text Indent 2"/>
    <w:basedOn w:val="1"/>
    <w:link w:val="42"/>
    <w:qFormat/>
    <w:uiPriority w:val="0"/>
    <w:pPr>
      <w:spacing w:line="440" w:lineRule="exact"/>
      <w:ind w:firstLine="570"/>
      <w:jc w:val="left"/>
    </w:pPr>
    <w:rPr>
      <w:rFonts w:ascii="宋体" w:hAnsi="宋体" w:eastAsiaTheme="minorEastAsia" w:cstheme="minorBidi"/>
      <w:sz w:val="24"/>
    </w:rPr>
  </w:style>
  <w:style w:type="paragraph" w:styleId="15">
    <w:name w:val="Balloon Text"/>
    <w:basedOn w:val="1"/>
    <w:link w:val="43"/>
    <w:qFormat/>
    <w:uiPriority w:val="0"/>
    <w:pPr>
      <w:spacing w:line="440" w:lineRule="exact"/>
      <w:jc w:val="left"/>
    </w:pPr>
    <w:rPr>
      <w:rFonts w:asciiTheme="minorHAnsi" w:hAnsiTheme="minorHAnsi" w:eastAsiaTheme="minorEastAsia" w:cstheme="minorBidi"/>
      <w:sz w:val="18"/>
      <w:szCs w:val="18"/>
    </w:rPr>
  </w:style>
  <w:style w:type="paragraph" w:styleId="16">
    <w:name w:val="footer"/>
    <w:basedOn w:val="1"/>
    <w:link w:val="44"/>
    <w:unhideWhenUsed/>
    <w:qFormat/>
    <w:uiPriority w:val="99"/>
    <w:pPr>
      <w:tabs>
        <w:tab w:val="center" w:pos="4153"/>
        <w:tab w:val="right" w:pos="8306"/>
      </w:tabs>
      <w:jc w:val="left"/>
    </w:pPr>
    <w:rPr>
      <w:sz w:val="18"/>
      <w:szCs w:val="18"/>
    </w:rPr>
  </w:style>
  <w:style w:type="paragraph" w:styleId="17">
    <w:name w:val="header"/>
    <w:basedOn w:val="1"/>
    <w:link w:val="45"/>
    <w:unhideWhenUsed/>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unhideWhenUsed/>
    <w:qFormat/>
    <w:uiPriority w:val="39"/>
  </w:style>
  <w:style w:type="paragraph" w:styleId="19">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0">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21">
    <w:name w:val="annotation subject"/>
    <w:basedOn w:val="8"/>
    <w:next w:val="8"/>
    <w:link w:val="70"/>
    <w:semiHidden/>
    <w:unhideWhenUsed/>
    <w:qFormat/>
    <w:uiPriority w:val="99"/>
    <w:pPr>
      <w:spacing w:line="240" w:lineRule="auto"/>
    </w:pPr>
    <w:rPr>
      <w:rFonts w:ascii="Times New Roman" w:hAnsi="Times New Roman" w:eastAsia="仿宋_GB2312" w:cs="Times New Roman"/>
      <w:b/>
      <w:bCs/>
      <w:sz w:val="32"/>
      <w:szCs w:val="22"/>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4">
    <w:name w:val="Table Grid 1"/>
    <w:basedOn w:val="22"/>
    <w:qFormat/>
    <w:uiPriority w:val="0"/>
    <w:pPr>
      <w:widowControl w:val="0"/>
      <w:jc w:val="both"/>
    </w:pPr>
    <w:rPr>
      <w:rFonts w:ascii="Times New Roman" w:hAnsi="Times New Roman" w:eastAsia="Times New Roman" w:cs="Times New Roman"/>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26">
    <w:name w:val="Strong"/>
    <w:basedOn w:val="25"/>
    <w:qFormat/>
    <w:uiPriority w:val="22"/>
    <w:rPr>
      <w:u w:val="none"/>
    </w:rPr>
  </w:style>
  <w:style w:type="character" w:styleId="27">
    <w:name w:val="page number"/>
    <w:basedOn w:val="25"/>
    <w:qFormat/>
    <w:uiPriority w:val="0"/>
  </w:style>
  <w:style w:type="character" w:styleId="28">
    <w:name w:val="FollowedHyperlink"/>
    <w:unhideWhenUsed/>
    <w:qFormat/>
    <w:uiPriority w:val="99"/>
    <w:rPr>
      <w:color w:val="954F72"/>
      <w:u w:val="single"/>
    </w:rPr>
  </w:style>
  <w:style w:type="character" w:styleId="29">
    <w:name w:val="Emphasis"/>
    <w:basedOn w:val="25"/>
    <w:qFormat/>
    <w:uiPriority w:val="20"/>
    <w:rPr>
      <w:u w:val="none"/>
    </w:rPr>
  </w:style>
  <w:style w:type="character" w:styleId="30">
    <w:name w:val="Hyperlink"/>
    <w:basedOn w:val="25"/>
    <w:unhideWhenUsed/>
    <w:qFormat/>
    <w:uiPriority w:val="99"/>
    <w:rPr>
      <w:color w:val="0000FF" w:themeColor="hyperlink"/>
      <w:u w:val="single"/>
      <w14:textFill>
        <w14:solidFill>
          <w14:schemeClr w14:val="hlink"/>
        </w14:solidFill>
      </w14:textFill>
    </w:rPr>
  </w:style>
  <w:style w:type="character" w:styleId="31">
    <w:name w:val="annotation reference"/>
    <w:qFormat/>
    <w:uiPriority w:val="0"/>
    <w:rPr>
      <w:sz w:val="21"/>
      <w:szCs w:val="21"/>
    </w:rPr>
  </w:style>
  <w:style w:type="character" w:customStyle="1" w:styleId="32">
    <w:name w:val="标题 1 字符"/>
    <w:basedOn w:val="25"/>
    <w:link w:val="3"/>
    <w:qFormat/>
    <w:uiPriority w:val="0"/>
    <w:rPr>
      <w:rFonts w:ascii="Times New Roman" w:hAnsi="Times New Roman" w:eastAsia="仿宋_GB2312" w:cs="Times New Roman"/>
      <w:b/>
      <w:bCs/>
      <w:kern w:val="44"/>
      <w:sz w:val="44"/>
      <w:szCs w:val="44"/>
    </w:rPr>
  </w:style>
  <w:style w:type="character" w:customStyle="1" w:styleId="33">
    <w:name w:val="标题 4 字符"/>
    <w:basedOn w:val="25"/>
    <w:link w:val="6"/>
    <w:qFormat/>
    <w:uiPriority w:val="0"/>
    <w:rPr>
      <w:rFonts w:ascii="Arial" w:hAnsi="Arial" w:eastAsia="黑体" w:cs="Times New Roman"/>
      <w:b/>
      <w:bCs/>
      <w:sz w:val="28"/>
      <w:szCs w:val="28"/>
    </w:rPr>
  </w:style>
  <w:style w:type="character" w:customStyle="1" w:styleId="34">
    <w:name w:val="标题 2 字符"/>
    <w:link w:val="4"/>
    <w:qFormat/>
    <w:uiPriority w:val="0"/>
    <w:rPr>
      <w:rFonts w:ascii="Arial" w:hAnsi="Arial" w:eastAsia="黑体" w:cs="Times New Roman"/>
      <w:b/>
      <w:bCs/>
      <w:sz w:val="32"/>
      <w:szCs w:val="32"/>
    </w:rPr>
  </w:style>
  <w:style w:type="character" w:customStyle="1" w:styleId="35">
    <w:name w:val="标题 3 字符"/>
    <w:basedOn w:val="25"/>
    <w:link w:val="5"/>
    <w:qFormat/>
    <w:uiPriority w:val="0"/>
    <w:rPr>
      <w:rFonts w:ascii="Calibri" w:hAnsi="Calibri" w:eastAsia="宋体" w:cs="Times New Roman"/>
      <w:b/>
      <w:bCs/>
      <w:sz w:val="24"/>
      <w:szCs w:val="32"/>
    </w:rPr>
  </w:style>
  <w:style w:type="character" w:customStyle="1" w:styleId="36">
    <w:name w:val="批注文字 字符"/>
    <w:link w:val="8"/>
    <w:qFormat/>
    <w:uiPriority w:val="0"/>
    <w:rPr>
      <w:sz w:val="24"/>
      <w:szCs w:val="24"/>
    </w:rPr>
  </w:style>
  <w:style w:type="character" w:customStyle="1" w:styleId="37">
    <w:name w:val="正文文本 3 字符"/>
    <w:link w:val="9"/>
    <w:qFormat/>
    <w:uiPriority w:val="0"/>
    <w:rPr>
      <w:sz w:val="16"/>
      <w:szCs w:val="16"/>
    </w:rPr>
  </w:style>
  <w:style w:type="character" w:customStyle="1" w:styleId="38">
    <w:name w:val="正文文本 字符"/>
    <w:link w:val="2"/>
    <w:qFormat/>
    <w:uiPriority w:val="0"/>
    <w:rPr>
      <w:szCs w:val="24"/>
    </w:rPr>
  </w:style>
  <w:style w:type="character" w:customStyle="1" w:styleId="39">
    <w:name w:val="正文文本缩进 字符"/>
    <w:link w:val="10"/>
    <w:qFormat/>
    <w:uiPriority w:val="0"/>
    <w:rPr>
      <w:sz w:val="24"/>
      <w:szCs w:val="24"/>
    </w:rPr>
  </w:style>
  <w:style w:type="character" w:customStyle="1" w:styleId="40">
    <w:name w:val="纯文本 字符"/>
    <w:basedOn w:val="25"/>
    <w:link w:val="12"/>
    <w:qFormat/>
    <w:uiPriority w:val="0"/>
    <w:rPr>
      <w:rFonts w:ascii="宋体" w:hAnsi="Courier New" w:eastAsia="宋体" w:cs="Times New Roman"/>
      <w:sz w:val="28"/>
      <w:szCs w:val="20"/>
    </w:rPr>
  </w:style>
  <w:style w:type="character" w:customStyle="1" w:styleId="41">
    <w:name w:val="日期 字符"/>
    <w:link w:val="13"/>
    <w:qFormat/>
    <w:uiPriority w:val="0"/>
    <w:rPr>
      <w:szCs w:val="24"/>
    </w:rPr>
  </w:style>
  <w:style w:type="character" w:customStyle="1" w:styleId="42">
    <w:name w:val="正文文本缩进 2 字符"/>
    <w:link w:val="14"/>
    <w:qFormat/>
    <w:uiPriority w:val="0"/>
    <w:rPr>
      <w:rFonts w:ascii="宋体" w:hAnsi="宋体"/>
      <w:sz w:val="24"/>
    </w:rPr>
  </w:style>
  <w:style w:type="character" w:customStyle="1" w:styleId="43">
    <w:name w:val="批注框文本 字符"/>
    <w:link w:val="15"/>
    <w:qFormat/>
    <w:uiPriority w:val="0"/>
    <w:rPr>
      <w:sz w:val="18"/>
      <w:szCs w:val="18"/>
    </w:rPr>
  </w:style>
  <w:style w:type="character" w:customStyle="1" w:styleId="44">
    <w:name w:val="页脚 字符"/>
    <w:basedOn w:val="25"/>
    <w:link w:val="16"/>
    <w:qFormat/>
    <w:uiPriority w:val="99"/>
    <w:rPr>
      <w:rFonts w:ascii="Times New Roman" w:hAnsi="Times New Roman" w:eastAsia="仿宋_GB2312" w:cs="Times New Roman"/>
      <w:sz w:val="18"/>
      <w:szCs w:val="18"/>
    </w:rPr>
  </w:style>
  <w:style w:type="character" w:customStyle="1" w:styleId="45">
    <w:name w:val="页眉 字符"/>
    <w:basedOn w:val="25"/>
    <w:link w:val="17"/>
    <w:qFormat/>
    <w:uiPriority w:val="0"/>
    <w:rPr>
      <w:rFonts w:ascii="Times New Roman" w:hAnsi="Times New Roman" w:eastAsia="仿宋_GB2312" w:cs="Times New Roman"/>
      <w:sz w:val="18"/>
      <w:szCs w:val="18"/>
    </w:rPr>
  </w:style>
  <w:style w:type="paragraph" w:customStyle="1" w:styleId="46">
    <w:name w:val="二级标题"/>
    <w:basedOn w:val="1"/>
    <w:next w:val="1"/>
    <w:qFormat/>
    <w:uiPriority w:val="0"/>
    <w:pPr>
      <w:overflowPunct w:val="0"/>
      <w:outlineLvl w:val="0"/>
    </w:pPr>
    <w:rPr>
      <w:b/>
      <w:szCs w:val="32"/>
    </w:rPr>
  </w:style>
  <w:style w:type="paragraph" w:customStyle="1" w:styleId="47">
    <w:name w:val="中等深浅网格 1 - 着色 21"/>
    <w:basedOn w:val="1"/>
    <w:qFormat/>
    <w:uiPriority w:val="0"/>
    <w:pPr>
      <w:ind w:firstLine="420"/>
    </w:pPr>
    <w:rPr>
      <w:rFonts w:ascii="Calibri" w:hAnsi="Calibri"/>
      <w:sz w:val="21"/>
    </w:rPr>
  </w:style>
  <w:style w:type="paragraph" w:customStyle="1" w:styleId="48">
    <w:name w:val="列出段落1"/>
    <w:basedOn w:val="1"/>
    <w:qFormat/>
    <w:uiPriority w:val="99"/>
    <w:pPr>
      <w:ind w:firstLine="420"/>
    </w:pPr>
  </w:style>
  <w:style w:type="paragraph" w:customStyle="1" w:styleId="49">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376092" w:themeColor="accent1" w:themeShade="BF"/>
      <w:kern w:val="0"/>
      <w:sz w:val="32"/>
      <w:szCs w:val="32"/>
    </w:rPr>
  </w:style>
  <w:style w:type="paragraph" w:customStyle="1" w:styleId="50">
    <w:name w:val="三级标题"/>
    <w:basedOn w:val="1"/>
    <w:next w:val="1"/>
    <w:qFormat/>
    <w:uiPriority w:val="0"/>
    <w:pPr>
      <w:overflowPunct w:val="0"/>
    </w:pPr>
    <w:rPr>
      <w:rFonts w:ascii="宋体" w:hAnsi="宋体" w:cs="宋体"/>
      <w:b/>
    </w:rPr>
  </w:style>
  <w:style w:type="character" w:customStyle="1" w:styleId="51">
    <w:name w:val="正文文本 字符1"/>
    <w:qFormat/>
    <w:uiPriority w:val="0"/>
    <w:rPr>
      <w:kern w:val="2"/>
      <w:sz w:val="21"/>
      <w:szCs w:val="24"/>
    </w:rPr>
  </w:style>
  <w:style w:type="paragraph" w:customStyle="1" w:styleId="52">
    <w:name w:val="表格内容"/>
    <w:basedOn w:val="1"/>
    <w:next w:val="1"/>
    <w:qFormat/>
    <w:uiPriority w:val="0"/>
    <w:pPr>
      <w:ind w:firstLine="0" w:firstLineChars="0"/>
    </w:pPr>
    <w:rPr>
      <w:sz w:val="21"/>
    </w:rPr>
  </w:style>
  <w:style w:type="character" w:customStyle="1" w:styleId="53">
    <w:name w:val="表内容行距 Char"/>
    <w:basedOn w:val="25"/>
    <w:link w:val="54"/>
    <w:qFormat/>
    <w:locked/>
    <w:uiPriority w:val="0"/>
    <w:rPr>
      <w:rFonts w:ascii="方正书宋简体" w:eastAsia="方正书宋简体"/>
      <w:szCs w:val="21"/>
    </w:rPr>
  </w:style>
  <w:style w:type="paragraph" w:customStyle="1" w:styleId="54">
    <w:name w:val="表内容行距"/>
    <w:basedOn w:val="1"/>
    <w:link w:val="53"/>
    <w:qFormat/>
    <w:uiPriority w:val="0"/>
    <w:pPr>
      <w:spacing w:line="340" w:lineRule="exact"/>
      <w:ind w:firstLine="100" w:firstLineChars="100"/>
      <w:jc w:val="left"/>
    </w:pPr>
    <w:rPr>
      <w:rFonts w:ascii="方正书宋简体" w:hAnsiTheme="minorHAnsi" w:cstheme="minorBidi"/>
      <w:sz w:val="21"/>
      <w:szCs w:val="21"/>
    </w:rPr>
  </w:style>
  <w:style w:type="character" w:customStyle="1" w:styleId="55">
    <w:name w:val="正文文本缩进 字符1"/>
    <w:basedOn w:val="25"/>
    <w:semiHidden/>
    <w:qFormat/>
    <w:uiPriority w:val="99"/>
    <w:rPr>
      <w:rFonts w:ascii="Times New Roman" w:hAnsi="Times New Roman" w:eastAsia="仿宋_GB2312" w:cs="Times New Roman"/>
      <w:sz w:val="32"/>
    </w:rPr>
  </w:style>
  <w:style w:type="paragraph" w:customStyle="1" w:styleId="56">
    <w:name w:val="样式 标题 1 + 三号 段前: 7.8 磅 段后: 7.8 磅"/>
    <w:basedOn w:val="3"/>
    <w:qFormat/>
    <w:uiPriority w:val="0"/>
    <w:pPr>
      <w:spacing w:before="156" w:after="156" w:line="440" w:lineRule="exact"/>
      <w:jc w:val="center"/>
      <w:outlineLvl w:val="1"/>
    </w:pPr>
    <w:rPr>
      <w:rFonts w:eastAsia="黑体" w:cs="宋体"/>
      <w:sz w:val="32"/>
      <w:szCs w:val="20"/>
    </w:rPr>
  </w:style>
  <w:style w:type="character" w:customStyle="1" w:styleId="57">
    <w:name w:val="正文文本 3 字符1"/>
    <w:basedOn w:val="25"/>
    <w:semiHidden/>
    <w:qFormat/>
    <w:uiPriority w:val="99"/>
    <w:rPr>
      <w:rFonts w:ascii="Times New Roman" w:hAnsi="Times New Roman" w:eastAsia="仿宋_GB2312" w:cs="Times New Roman"/>
      <w:sz w:val="16"/>
      <w:szCs w:val="16"/>
    </w:rPr>
  </w:style>
  <w:style w:type="character" w:customStyle="1" w:styleId="58">
    <w:name w:val="正文文本 字符2"/>
    <w:basedOn w:val="25"/>
    <w:semiHidden/>
    <w:qFormat/>
    <w:uiPriority w:val="99"/>
    <w:rPr>
      <w:rFonts w:ascii="Times New Roman" w:hAnsi="Times New Roman" w:eastAsia="仿宋_GB2312" w:cs="Times New Roman"/>
      <w:sz w:val="32"/>
    </w:rPr>
  </w:style>
  <w:style w:type="character" w:customStyle="1" w:styleId="59">
    <w:name w:val="批注文字 字符1"/>
    <w:basedOn w:val="25"/>
    <w:semiHidden/>
    <w:qFormat/>
    <w:uiPriority w:val="99"/>
    <w:rPr>
      <w:rFonts w:ascii="Times New Roman" w:hAnsi="Times New Roman" w:eastAsia="仿宋_GB2312" w:cs="Times New Roman"/>
      <w:sz w:val="32"/>
    </w:rPr>
  </w:style>
  <w:style w:type="paragraph" w:customStyle="1" w:styleId="60">
    <w:name w:val="图中文字"/>
    <w:qFormat/>
    <w:uiPriority w:val="0"/>
    <w:pPr>
      <w:jc w:val="center"/>
    </w:pPr>
    <w:rPr>
      <w:rFonts w:ascii="仿宋_GB2312" w:hAnsi="Times New Roman" w:eastAsia="宋体" w:cs="Times New Roman"/>
      <w:kern w:val="2"/>
      <w:sz w:val="21"/>
      <w:szCs w:val="24"/>
      <w:lang w:val="en-US" w:eastAsia="zh-CN" w:bidi="ar-SA"/>
    </w:rPr>
  </w:style>
  <w:style w:type="character" w:customStyle="1" w:styleId="61">
    <w:name w:val="正文文本缩进 2 字符1"/>
    <w:basedOn w:val="25"/>
    <w:semiHidden/>
    <w:qFormat/>
    <w:uiPriority w:val="99"/>
    <w:rPr>
      <w:rFonts w:ascii="Times New Roman" w:hAnsi="Times New Roman" w:eastAsia="仿宋_GB2312" w:cs="Times New Roman"/>
      <w:sz w:val="32"/>
    </w:rPr>
  </w:style>
  <w:style w:type="paragraph" w:customStyle="1" w:styleId="62">
    <w:name w:val="正文1"/>
    <w:basedOn w:val="1"/>
    <w:next w:val="1"/>
    <w:qFormat/>
    <w:uiPriority w:val="0"/>
    <w:pPr>
      <w:jc w:val="left"/>
    </w:pPr>
    <w:rPr>
      <w:sz w:val="24"/>
      <w:szCs w:val="24"/>
    </w:rPr>
  </w:style>
  <w:style w:type="paragraph" w:customStyle="1" w:styleId="63">
    <w:name w:val="正文-非表格"/>
    <w:basedOn w:val="1"/>
    <w:qFormat/>
    <w:uiPriority w:val="0"/>
    <w:pPr>
      <w:tabs>
        <w:tab w:val="left" w:pos="327"/>
        <w:tab w:val="left" w:pos="8185"/>
      </w:tabs>
      <w:spacing w:line="300" w:lineRule="auto"/>
    </w:pPr>
    <w:rPr>
      <w:rFonts w:hint="eastAsia" w:ascii="宋体" w:hAnsi="宋体"/>
      <w:sz w:val="24"/>
      <w:szCs w:val="24"/>
    </w:rPr>
  </w:style>
  <w:style w:type="character" w:customStyle="1" w:styleId="64">
    <w:name w:val="批注框文本 字符1"/>
    <w:basedOn w:val="25"/>
    <w:semiHidden/>
    <w:qFormat/>
    <w:uiPriority w:val="99"/>
    <w:rPr>
      <w:rFonts w:ascii="Times New Roman" w:hAnsi="Times New Roman" w:eastAsia="仿宋_GB2312" w:cs="Times New Roman"/>
      <w:sz w:val="18"/>
      <w:szCs w:val="18"/>
    </w:rPr>
  </w:style>
  <w:style w:type="paragraph" w:customStyle="1" w:styleId="65">
    <w:name w:val="样式1"/>
    <w:basedOn w:val="1"/>
    <w:qFormat/>
    <w:uiPriority w:val="0"/>
    <w:pPr>
      <w:spacing w:line="400" w:lineRule="exact"/>
      <w:jc w:val="left"/>
    </w:pPr>
    <w:rPr>
      <w:sz w:val="24"/>
      <w:szCs w:val="24"/>
    </w:rPr>
  </w:style>
  <w:style w:type="table" w:customStyle="1" w:styleId="66">
    <w:name w:val="网格型1"/>
    <w:basedOn w:val="22"/>
    <w:qFormat/>
    <w:uiPriority w:val="0"/>
    <w:pPr>
      <w:widowControl w:val="0"/>
      <w:jc w:val="both"/>
    </w:pPr>
    <w:rPr>
      <w:rFonts w:ascii="Times New Roman" w:hAnsi="Times New Roman" w:eastAsia="Times New Roman"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7">
    <w:name w:val="日期 字符1"/>
    <w:basedOn w:val="25"/>
    <w:qFormat/>
    <w:uiPriority w:val="0"/>
    <w:rPr>
      <w:rFonts w:ascii="Times New Roman" w:hAnsi="Times New Roman" w:eastAsia="仿宋_GB2312" w:cs="Times New Roman"/>
      <w:sz w:val="32"/>
    </w:rPr>
  </w:style>
  <w:style w:type="paragraph" w:customStyle="1" w:styleId="68">
    <w:name w:val="Table Paragraph"/>
    <w:basedOn w:val="1"/>
    <w:qFormat/>
    <w:uiPriority w:val="1"/>
    <w:pPr>
      <w:spacing w:before="8"/>
      <w:ind w:left="40"/>
      <w:jc w:val="center"/>
    </w:pPr>
    <w:rPr>
      <w:rFonts w:ascii="宋体" w:hAnsi="宋体" w:cs="宋体"/>
      <w:szCs w:val="24"/>
      <w:lang w:val="zh-CN" w:bidi="zh-CN"/>
    </w:rPr>
  </w:style>
  <w:style w:type="table" w:customStyle="1" w:styleId="69">
    <w:name w:val="网格型11"/>
    <w:basedOn w:val="22"/>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0">
    <w:name w:val="批注主题 字符"/>
    <w:basedOn w:val="36"/>
    <w:link w:val="21"/>
    <w:semiHidden/>
    <w:qFormat/>
    <w:uiPriority w:val="99"/>
    <w:rPr>
      <w:rFonts w:ascii="Times New Roman" w:hAnsi="Times New Roman" w:eastAsia="仿宋_GB2312" w:cs="Times New Roman"/>
      <w:b/>
      <w:bCs/>
      <w:kern w:val="2"/>
      <w:sz w:val="32"/>
      <w:szCs w:val="22"/>
    </w:rPr>
  </w:style>
  <w:style w:type="paragraph" w:customStyle="1" w:styleId="71">
    <w:name w:val="一级标题"/>
    <w:basedOn w:val="1"/>
    <w:next w:val="1"/>
    <w:qFormat/>
    <w:uiPriority w:val="0"/>
    <w:pPr>
      <w:overflowPunct w:val="0"/>
      <w:outlineLvl w:val="0"/>
    </w:pPr>
    <w:rPr>
      <w:rFonts w:eastAsia="黑体"/>
      <w:szCs w:val="32"/>
    </w:rPr>
  </w:style>
  <w:style w:type="paragraph" w:customStyle="1" w:styleId="72">
    <w:name w:val="表格名"/>
    <w:basedOn w:val="1"/>
    <w:next w:val="1"/>
    <w:qFormat/>
    <w:uiPriority w:val="0"/>
    <w:pPr>
      <w:overflowPunct w:val="0"/>
      <w:jc w:val="center"/>
    </w:pPr>
    <w:rPr>
      <w:rFonts w:ascii="宋体" w:hAnsi="宋体" w:cs="宋体"/>
      <w:b/>
      <w:sz w:val="21"/>
      <w:szCs w:val="21"/>
    </w:rPr>
  </w:style>
  <w:style w:type="paragraph" w:customStyle="1" w:styleId="73">
    <w:name w:val="msonormal"/>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24"/>
      <w:szCs w:val="24"/>
    </w:rPr>
  </w:style>
  <w:style w:type="paragraph" w:customStyle="1" w:styleId="74">
    <w:name w:val="font5"/>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5">
    <w:name w:val="font6"/>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76">
    <w:name w:val="xl94"/>
    <w:basedOn w:val="1"/>
    <w:qFormat/>
    <w:uiPriority w:val="0"/>
    <w:pPr>
      <w:widowControl/>
      <w:adjustRightInd/>
      <w:snapToGrid/>
      <w:spacing w:before="100" w:beforeAutospacing="1" w:after="100" w:afterAutospacing="1" w:line="240" w:lineRule="auto"/>
      <w:ind w:firstLine="0" w:firstLineChars="0"/>
      <w:jc w:val="left"/>
    </w:pPr>
    <w:rPr>
      <w:rFonts w:ascii="宋体" w:hAnsi="宋体" w:cs="宋体"/>
      <w:color w:val="000000"/>
      <w:kern w:val="0"/>
      <w:sz w:val="22"/>
    </w:rPr>
  </w:style>
  <w:style w:type="paragraph" w:customStyle="1" w:styleId="77">
    <w:name w:val="xl95"/>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8">
    <w:name w:val="xl96"/>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79">
    <w:name w:val="xl97"/>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0">
    <w:name w:val="xl98"/>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b/>
      <w:bCs/>
      <w:color w:val="000000"/>
      <w:kern w:val="0"/>
      <w:sz w:val="15"/>
      <w:szCs w:val="15"/>
    </w:rPr>
  </w:style>
  <w:style w:type="paragraph" w:customStyle="1" w:styleId="81">
    <w:name w:val="xl99"/>
    <w:basedOn w:val="1"/>
    <w:qFormat/>
    <w:uiPriority w:val="0"/>
    <w:pPr>
      <w:widowControl/>
      <w:pBdr>
        <w:top w:val="single" w:color="auto" w:sz="4" w:space="0"/>
        <w:left w:val="single" w:color="auto" w:sz="4" w:space="0"/>
        <w:bottom w:val="single" w:color="auto" w:sz="4" w:space="0"/>
        <w:right w:val="single" w:color="auto" w:sz="4" w:space="0"/>
      </w:pBdr>
      <w:shd w:val="clear" w:color="000000" w:fill="FFC000"/>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82">
    <w:name w:val="xl100"/>
    <w:basedOn w:val="1"/>
    <w:qFormat/>
    <w:uiPriority w:val="0"/>
    <w:pPr>
      <w:widowControl/>
      <w:pBdr>
        <w:top w:val="single" w:color="auto" w:sz="4" w:space="0"/>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3">
    <w:name w:val="xl101"/>
    <w:basedOn w:val="1"/>
    <w:qFormat/>
    <w:uiPriority w:val="0"/>
    <w:pPr>
      <w:widowControl/>
      <w:pBdr>
        <w:top w:val="single" w:color="auto" w:sz="4" w:space="0"/>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4">
    <w:name w:val="xl102"/>
    <w:basedOn w:val="1"/>
    <w:qFormat/>
    <w:uiPriority w:val="0"/>
    <w:pPr>
      <w:widowControl/>
      <w:pBdr>
        <w:top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5">
    <w:name w:val="xl103"/>
    <w:basedOn w:val="1"/>
    <w:qFormat/>
    <w:uiPriority w:val="0"/>
    <w:pPr>
      <w:widowControl/>
      <w:pBdr>
        <w:lef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6">
    <w:name w:val="xl104"/>
    <w:basedOn w:val="1"/>
    <w:qFormat/>
    <w:uiPriority w:val="0"/>
    <w:pPr>
      <w:widowControl/>
      <w:pBdr>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7">
    <w:name w:val="xl105"/>
    <w:basedOn w:val="1"/>
    <w:qFormat/>
    <w:uiPriority w:val="0"/>
    <w:pPr>
      <w:widowControl/>
      <w:pBdr>
        <w:left w:val="single" w:color="auto" w:sz="4" w:space="0"/>
        <w:bottom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8">
    <w:name w:val="xl106"/>
    <w:basedOn w:val="1"/>
    <w:qFormat/>
    <w:uiPriority w:val="0"/>
    <w:pPr>
      <w:widowControl/>
      <w:pBdr>
        <w:bottom w:val="single" w:color="auto" w:sz="4" w:space="0"/>
        <w:right w:val="single" w:color="auto" w:sz="4" w:space="0"/>
      </w:pBdr>
      <w:adjustRightInd/>
      <w:snapToGrid/>
      <w:spacing w:before="100" w:beforeAutospacing="1" w:after="100" w:afterAutospacing="1" w:line="240" w:lineRule="auto"/>
      <w:ind w:firstLine="0" w:firstLineChars="0"/>
      <w:jc w:val="left"/>
    </w:pPr>
    <w:rPr>
      <w:rFonts w:ascii="宋体" w:hAnsi="宋体" w:cs="宋体"/>
      <w:color w:val="000000"/>
      <w:kern w:val="0"/>
      <w:sz w:val="15"/>
      <w:szCs w:val="15"/>
    </w:rPr>
  </w:style>
  <w:style w:type="paragraph" w:customStyle="1" w:styleId="89">
    <w:name w:val="xl107"/>
    <w:basedOn w:val="1"/>
    <w:qFormat/>
    <w:uiPriority w:val="0"/>
    <w:pPr>
      <w:widowControl/>
      <w:pBdr>
        <w:top w:val="single" w:color="auto" w:sz="4" w:space="0"/>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0">
    <w:name w:val="xl108"/>
    <w:basedOn w:val="1"/>
    <w:qFormat/>
    <w:uiPriority w:val="0"/>
    <w:pPr>
      <w:widowControl/>
      <w:pBdr>
        <w:left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1">
    <w:name w:val="xl109"/>
    <w:basedOn w:val="1"/>
    <w:qFormat/>
    <w:uiPriority w:val="0"/>
    <w:pPr>
      <w:widowControl/>
      <w:pBdr>
        <w:left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2">
    <w:name w:val="xl110"/>
    <w:basedOn w:val="1"/>
    <w:qFormat/>
    <w:uiPriority w:val="0"/>
    <w:pPr>
      <w:widowControl/>
      <w:pBdr>
        <w:top w:val="single" w:color="auto" w:sz="4" w:space="0"/>
        <w:left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3">
    <w:name w:val="xl111"/>
    <w:basedOn w:val="1"/>
    <w:qFormat/>
    <w:uiPriority w:val="0"/>
    <w:pPr>
      <w:widowControl/>
      <w:pBdr>
        <w:top w:val="single" w:color="auto" w:sz="4" w:space="0"/>
        <w:bottom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paragraph" w:customStyle="1" w:styleId="94">
    <w:name w:val="xl112"/>
    <w:basedOn w:val="1"/>
    <w:qFormat/>
    <w:uiPriority w:val="0"/>
    <w:pPr>
      <w:widowControl/>
      <w:pBdr>
        <w:top w:val="single" w:color="auto" w:sz="4" w:space="0"/>
        <w:bottom w:val="single" w:color="auto" w:sz="4" w:space="0"/>
        <w:right w:val="single" w:color="auto" w:sz="4" w:space="0"/>
      </w:pBdr>
      <w:adjustRightInd/>
      <w:snapToGrid/>
      <w:spacing w:before="100" w:beforeAutospacing="1" w:after="100" w:afterAutospacing="1" w:line="240" w:lineRule="auto"/>
      <w:ind w:firstLine="0" w:firstLineChars="0"/>
      <w:jc w:val="center"/>
    </w:pPr>
    <w:rPr>
      <w:rFonts w:ascii="宋体" w:hAnsi="宋体" w:cs="宋体"/>
      <w:color w:val="000000"/>
      <w:kern w:val="0"/>
      <w:sz w:val="15"/>
      <w:szCs w:val="15"/>
    </w:rPr>
  </w:style>
  <w:style w:type="character" w:customStyle="1" w:styleId="95">
    <w:name w:val="font31"/>
    <w:basedOn w:val="25"/>
    <w:qFormat/>
    <w:uiPriority w:val="0"/>
    <w:rPr>
      <w:rFonts w:hint="eastAsia" w:ascii="宋体" w:hAnsi="宋体" w:eastAsia="宋体" w:cs="宋体"/>
      <w:color w:val="000000"/>
      <w:sz w:val="18"/>
      <w:szCs w:val="18"/>
      <w:u w:val="none"/>
    </w:rPr>
  </w:style>
  <w:style w:type="character" w:customStyle="1" w:styleId="96">
    <w:name w:val="cur"/>
    <w:basedOn w:val="25"/>
    <w:qFormat/>
    <w:uiPriority w:val="0"/>
    <w:rPr>
      <w:color w:val="FFFFFF"/>
      <w:shd w:val="clear" w:fill="CCCCCC"/>
    </w:rPr>
  </w:style>
  <w:style w:type="character" w:customStyle="1" w:styleId="97">
    <w:name w:val="mid"/>
    <w:basedOn w:val="25"/>
    <w:qFormat/>
    <w:uiPriority w:val="0"/>
    <w:rPr>
      <w:bdr w:val="single" w:color="CCCCCC" w:sz="6" w:space="0"/>
    </w:rPr>
  </w:style>
  <w:style w:type="paragraph" w:customStyle="1" w:styleId="98">
    <w:name w:val="表头"/>
    <w:basedOn w:val="1"/>
    <w:qFormat/>
    <w:uiPriority w:val="0"/>
    <w:pPr>
      <w:topLinePunct/>
      <w:adjustRightInd w:val="0"/>
      <w:snapToGrid w:val="0"/>
      <w:jc w:val="center"/>
    </w:pPr>
    <w:rPr>
      <w:rFonts w:ascii="方正兰亭黑简体" w:eastAsia="方正兰亭黑简体"/>
      <w:sz w:val="18"/>
      <w:szCs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CHINA</Company>
  <Pages>13</Pages>
  <Words>5984</Words>
  <Characters>6572</Characters>
  <Lines>89</Lines>
  <Paragraphs>25</Paragraphs>
  <TotalTime>1</TotalTime>
  <ScaleCrop>false</ScaleCrop>
  <LinksUpToDate>false</LinksUpToDate>
  <CharactersWithSpaces>7072</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2019-08-25T15:29:00Z</dcterms:created>
  <dc:creator>wl669006</dc:creator>
  <cp:lastModifiedBy>吴梦琦</cp:lastModifiedBy>
  <cp:lastPrinted>2019-08-24T09:20:00Z</cp:lastPrinted>
  <dcterms:modified xsi:type="dcterms:W3CDTF">2021-10-15T12:18:42Z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25E0396F22CB41B7838E76B6925C215F</vt:lpwstr>
  </property>
  <property fmtid="{D5CDD505-2E9C-101B-9397-08002B2CF9AE}" pid="4" name="KSOSaveFontToCloudKey">
    <vt:lpwstr>253990167_embed</vt:lpwstr>
  </property>
</Properties>
</file>