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firstLine="723"/>
        <w:jc w:val="center"/>
        <w:rPr>
          <w:rFonts w:ascii="黑体" w:hAnsi="黑体" w:eastAsia="黑体"/>
          <w:b/>
          <w:color w:val="auto"/>
          <w:sz w:val="36"/>
          <w:szCs w:val="36"/>
        </w:rPr>
      </w:pPr>
      <w:r>
        <w:rPr>
          <w:rFonts w:hint="eastAsia" w:ascii="黑体" w:hAnsi="黑体" w:eastAsia="黑体"/>
          <w:b/>
          <w:color w:val="auto"/>
          <w:sz w:val="36"/>
          <w:szCs w:val="36"/>
          <w:lang w:val="en-US" w:eastAsia="zh-CN"/>
        </w:rPr>
        <w:t>绍兴市中等专业学校</w:t>
      </w:r>
      <w:r>
        <w:rPr>
          <w:rFonts w:hint="eastAsia" w:ascii="黑体" w:hAnsi="黑体" w:eastAsia="黑体" w:cs="黑体"/>
          <w:b/>
          <w:bCs/>
          <w:color w:val="auto"/>
          <w:sz w:val="36"/>
          <w:szCs w:val="36"/>
        </w:rPr>
        <w:t>分析检验</w:t>
      </w:r>
      <w:r>
        <w:rPr>
          <w:rFonts w:hint="eastAsia" w:ascii="黑体" w:hAnsi="黑体" w:eastAsia="黑体" w:cs="黑体"/>
          <w:b/>
          <w:bCs/>
          <w:color w:val="auto"/>
          <w:sz w:val="36"/>
          <w:szCs w:val="36"/>
          <w:lang w:eastAsia="zh-CN"/>
        </w:rPr>
        <w:t>技术</w:t>
      </w:r>
      <w:r>
        <w:rPr>
          <w:rFonts w:ascii="黑体" w:hAnsi="黑体" w:eastAsia="黑体"/>
          <w:b/>
          <w:color w:val="auto"/>
          <w:sz w:val="36"/>
          <w:szCs w:val="36"/>
        </w:rPr>
        <w:t>人才培养方案</w:t>
      </w:r>
    </w:p>
    <w:p>
      <w:pPr>
        <w:pStyle w:val="72"/>
        <w:ind w:left="0" w:leftChars="0" w:firstLine="0" w:firstLineChars="0"/>
      </w:pPr>
      <w:bookmarkStart w:id="0" w:name="_Toc17537276"/>
      <w:r>
        <w:t>一、专业名称及代码</w:t>
      </w:r>
      <w:bookmarkEnd w:id="0"/>
    </w:p>
    <w:p>
      <w:pPr>
        <w:spacing w:line="360" w:lineRule="auto"/>
        <w:jc w:val="both"/>
        <w:rPr>
          <w:rFonts w:hint="eastAsia" w:ascii="宋体" w:hAnsi="宋体" w:eastAsia="宋体" w:cs="宋体"/>
          <w:b w:val="0"/>
          <w:bCs w:val="0"/>
          <w:color w:val="auto"/>
          <w:sz w:val="28"/>
          <w:szCs w:val="28"/>
          <w:lang w:eastAsia="zh-CN"/>
        </w:rPr>
      </w:pPr>
      <w:bookmarkStart w:id="1" w:name="_Toc17537277"/>
      <w:r>
        <w:rPr>
          <w:rFonts w:hint="eastAsia" w:ascii="宋体" w:hAnsi="宋体" w:eastAsia="宋体" w:cs="宋体"/>
          <w:b w:val="0"/>
          <w:bCs w:val="0"/>
          <w:color w:val="auto"/>
          <w:sz w:val="28"/>
          <w:szCs w:val="28"/>
        </w:rPr>
        <w:t>分析检验</w:t>
      </w:r>
      <w:r>
        <w:rPr>
          <w:rFonts w:hint="eastAsia" w:ascii="宋体" w:hAnsi="宋体" w:eastAsia="宋体" w:cs="宋体"/>
          <w:b w:val="0"/>
          <w:bCs w:val="0"/>
          <w:color w:val="auto"/>
          <w:sz w:val="28"/>
          <w:szCs w:val="28"/>
          <w:lang w:eastAsia="zh-CN"/>
        </w:rPr>
        <w:t>技术</w:t>
      </w:r>
    </w:p>
    <w:p>
      <w:pPr>
        <w:spacing w:line="360" w:lineRule="auto"/>
        <w:jc w:val="both"/>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rPr>
        <w:t>专业代码： 060200</w:t>
      </w:r>
    </w:p>
    <w:p>
      <w:pPr>
        <w:pStyle w:val="72"/>
        <w:ind w:left="0" w:leftChars="0" w:firstLine="0" w:firstLineChars="0"/>
      </w:pPr>
      <w:r>
        <w:t>二、入学要求</w:t>
      </w:r>
      <w:bookmarkEnd w:id="1"/>
    </w:p>
    <w:p>
      <w:pPr>
        <w:ind w:firstLine="560"/>
      </w:pPr>
      <w:r>
        <w:rPr>
          <w:rFonts w:hint="eastAsia"/>
        </w:rPr>
        <w:t>初中毕业生或具有同等</w:t>
      </w:r>
      <w:r>
        <w:t>学历</w:t>
      </w:r>
      <w:r>
        <w:rPr>
          <w:rFonts w:hint="eastAsia"/>
        </w:rPr>
        <w:t>者。</w:t>
      </w:r>
    </w:p>
    <w:p>
      <w:pPr>
        <w:pStyle w:val="72"/>
        <w:ind w:left="0" w:leftChars="0" w:firstLine="0" w:firstLineChars="0"/>
      </w:pPr>
      <w:bookmarkStart w:id="2" w:name="_Toc17537278"/>
      <w:r>
        <w:t>三、修业年限</w:t>
      </w:r>
      <w:bookmarkEnd w:id="2"/>
    </w:p>
    <w:p>
      <w:pPr>
        <w:ind w:firstLine="560"/>
      </w:pPr>
      <w:r>
        <w:rPr>
          <w:rFonts w:hint="eastAsia"/>
        </w:rPr>
        <w:t>三年。</w:t>
      </w:r>
    </w:p>
    <w:p>
      <w:pPr>
        <w:pStyle w:val="72"/>
        <w:ind w:left="0" w:leftChars="0" w:firstLine="0" w:firstLineChars="0"/>
      </w:pPr>
      <w:r>
        <w:t>四、职业面向</w:t>
      </w:r>
    </w:p>
    <w:p>
      <w:pPr>
        <w:ind w:firstLine="560"/>
        <w:rPr>
          <w:rFonts w:asciiTheme="minorEastAsia" w:hAnsiTheme="minorEastAsia" w:eastAsiaTheme="minorEastAsia"/>
        </w:rPr>
      </w:pPr>
      <w:r>
        <w:rPr>
          <w:rFonts w:hint="eastAsia" w:asciiTheme="minorEastAsia" w:hAnsiTheme="minorEastAsia" w:eastAsiaTheme="minorEastAsia"/>
        </w:rPr>
        <w:t>本专业职业面向如表1所示。</w:t>
      </w:r>
    </w:p>
    <w:p>
      <w:pPr>
        <w:pStyle w:val="73"/>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表1</w:t>
      </w:r>
      <w:r>
        <w:rPr>
          <w:rFonts w:hint="eastAsia"/>
          <w:sz w:val="24"/>
          <w:szCs w:val="24"/>
          <w:lang w:val="en-US" w:eastAsia="zh-CN"/>
        </w:rPr>
        <w:t xml:space="preserve">  </w:t>
      </w:r>
      <w:r>
        <w:rPr>
          <w:rFonts w:hint="eastAsia"/>
          <w:sz w:val="24"/>
          <w:szCs w:val="24"/>
        </w:rPr>
        <w:t>本专业职业面向</w:t>
      </w:r>
    </w:p>
    <w:tbl>
      <w:tblPr>
        <w:tblStyle w:val="23"/>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855"/>
        <w:gridCol w:w="825"/>
        <w:gridCol w:w="1335"/>
        <w:gridCol w:w="4275"/>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1080" w:type="dxa"/>
            <w:shd w:val="clear" w:color="auto" w:fill="C0C0C0"/>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专业</w:t>
            </w:r>
          </w:p>
          <w:p>
            <w:pPr>
              <w:spacing w:line="400" w:lineRule="exact"/>
              <w:ind w:left="0" w:leftChars="0" w:firstLine="0" w:firstLineChars="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大</w:t>
            </w:r>
            <w:r>
              <w:rPr>
                <w:rFonts w:hint="eastAsia" w:asciiTheme="minorEastAsia" w:hAnsiTheme="minorEastAsia" w:eastAsiaTheme="minorEastAsia" w:cstheme="minorEastAsia"/>
                <w:b/>
                <w:bCs/>
                <w:sz w:val="21"/>
                <w:szCs w:val="21"/>
              </w:rPr>
              <w:t>类</w:t>
            </w:r>
          </w:p>
        </w:tc>
        <w:tc>
          <w:tcPr>
            <w:tcW w:w="855" w:type="dxa"/>
            <w:shd w:val="clear" w:color="auto" w:fill="C0C0C0"/>
            <w:noWrap w:val="0"/>
            <w:vAlign w:val="center"/>
          </w:tcPr>
          <w:p>
            <w:pPr>
              <w:spacing w:line="400" w:lineRule="exact"/>
              <w:ind w:left="0" w:leftChars="0" w:firstLine="0" w:firstLineChars="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专业类</w:t>
            </w:r>
          </w:p>
        </w:tc>
        <w:tc>
          <w:tcPr>
            <w:tcW w:w="825" w:type="dxa"/>
            <w:shd w:val="clear" w:color="auto" w:fill="C0C0C0"/>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专业</w:t>
            </w:r>
          </w:p>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名称</w:t>
            </w:r>
          </w:p>
          <w:p>
            <w:pPr>
              <w:spacing w:line="40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bCs/>
                <w:sz w:val="21"/>
                <w:szCs w:val="21"/>
              </w:rPr>
              <w:t>代码</w:t>
            </w:r>
          </w:p>
        </w:tc>
        <w:tc>
          <w:tcPr>
            <w:tcW w:w="1335" w:type="dxa"/>
            <w:shd w:val="clear" w:color="auto" w:fill="C0C0C0"/>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专业</w:t>
            </w:r>
          </w:p>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A0A0A"/>
                <w:sz w:val="21"/>
                <w:szCs w:val="21"/>
              </w:rPr>
            </w:pPr>
            <w:r>
              <w:rPr>
                <w:rFonts w:hint="eastAsia" w:asciiTheme="minorEastAsia" w:hAnsiTheme="minorEastAsia" w:eastAsiaTheme="minorEastAsia" w:cstheme="minorEastAsia"/>
                <w:b/>
                <w:bCs/>
                <w:sz w:val="21"/>
                <w:szCs w:val="21"/>
              </w:rPr>
              <w:t>（技能）</w:t>
            </w:r>
          </w:p>
        </w:tc>
        <w:tc>
          <w:tcPr>
            <w:tcW w:w="4275" w:type="dxa"/>
            <w:shd w:val="clear" w:color="auto" w:fill="C0C0C0"/>
            <w:noWrap w:val="0"/>
            <w:vAlign w:val="center"/>
          </w:tcPr>
          <w:p>
            <w:pPr>
              <w:spacing w:line="400" w:lineRule="exact"/>
              <w:ind w:firstLine="1044" w:firstLineChars="495"/>
              <w:jc w:val="center"/>
              <w:rPr>
                <w:rFonts w:hint="eastAsia" w:asciiTheme="minorEastAsia" w:hAnsiTheme="minorEastAsia" w:eastAsiaTheme="minorEastAsia" w:cstheme="minorEastAsia"/>
                <w:color w:val="0A0A0A"/>
                <w:sz w:val="21"/>
                <w:szCs w:val="21"/>
              </w:rPr>
            </w:pPr>
            <w:r>
              <w:rPr>
                <w:rFonts w:hint="eastAsia" w:asciiTheme="minorEastAsia" w:hAnsiTheme="minorEastAsia" w:eastAsiaTheme="minorEastAsia" w:cstheme="minorEastAsia"/>
                <w:b/>
                <w:bCs/>
                <w:sz w:val="21"/>
                <w:szCs w:val="21"/>
              </w:rPr>
              <w:t>对应职业（岗位）</w:t>
            </w:r>
          </w:p>
        </w:tc>
        <w:tc>
          <w:tcPr>
            <w:tcW w:w="1380" w:type="dxa"/>
            <w:shd w:val="clear" w:color="auto" w:fill="C0C0C0"/>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职业</w:t>
            </w:r>
          </w:p>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trPr>
        <w:tc>
          <w:tcPr>
            <w:tcW w:w="1080" w:type="dxa"/>
            <w:vMerge w:val="restart"/>
            <w:noWrap w:val="0"/>
            <w:vAlign w:val="center"/>
          </w:tcPr>
          <w:p>
            <w:pPr>
              <w:spacing w:line="400" w:lineRule="exact"/>
              <w:ind w:left="0" w:leftChars="0" w:firstLine="0" w:firstLineChars="0"/>
              <w:jc w:val="center"/>
              <w:rPr>
                <w:rFonts w:hint="eastAsia" w:asciiTheme="minorEastAsia" w:hAnsiTheme="minorEastAsia" w:eastAsiaTheme="minorEastAsia" w:cstheme="minorEastAsia"/>
                <w:b/>
                <w:bCs/>
                <w:i w:val="0"/>
                <w:iCs w:val="0"/>
                <w:caps w:val="0"/>
                <w:color w:val="333333"/>
                <w:spacing w:val="0"/>
                <w:sz w:val="21"/>
                <w:szCs w:val="21"/>
                <w:shd w:val="clear" w:fill="FFFFFF"/>
              </w:rPr>
            </w:pPr>
            <w:r>
              <w:rPr>
                <w:rFonts w:hint="eastAsia" w:asciiTheme="minorEastAsia" w:hAnsiTheme="minorEastAsia" w:eastAsiaTheme="minorEastAsia" w:cstheme="minorEastAsia"/>
                <w:b/>
                <w:bCs/>
                <w:i w:val="0"/>
                <w:iCs w:val="0"/>
                <w:caps w:val="0"/>
                <w:color w:val="333333"/>
                <w:spacing w:val="0"/>
                <w:sz w:val="21"/>
                <w:szCs w:val="21"/>
                <w:shd w:val="clear" w:fill="FFFFFF"/>
              </w:rPr>
              <w:t>生物</w:t>
            </w:r>
          </w:p>
          <w:p>
            <w:pPr>
              <w:spacing w:line="400" w:lineRule="exact"/>
              <w:ind w:left="0" w:leftChars="0" w:firstLine="0" w:firstLineChars="0"/>
              <w:jc w:val="center"/>
              <w:rPr>
                <w:rFonts w:hint="eastAsia" w:asciiTheme="minorEastAsia" w:hAnsiTheme="minorEastAsia" w:eastAsiaTheme="minorEastAsia" w:cstheme="minorEastAsia"/>
                <w:b/>
                <w:bCs/>
                <w:i w:val="0"/>
                <w:iCs w:val="0"/>
                <w:caps w:val="0"/>
                <w:color w:val="333333"/>
                <w:spacing w:val="0"/>
                <w:sz w:val="21"/>
                <w:szCs w:val="21"/>
                <w:shd w:val="clear" w:fill="FFFFFF"/>
              </w:rPr>
            </w:pPr>
            <w:r>
              <w:rPr>
                <w:rFonts w:hint="eastAsia" w:asciiTheme="minorEastAsia" w:hAnsiTheme="minorEastAsia" w:eastAsiaTheme="minorEastAsia" w:cstheme="minorEastAsia"/>
                <w:b/>
                <w:bCs/>
                <w:i w:val="0"/>
                <w:iCs w:val="0"/>
                <w:caps w:val="0"/>
                <w:color w:val="333333"/>
                <w:spacing w:val="0"/>
                <w:sz w:val="21"/>
                <w:szCs w:val="21"/>
                <w:shd w:val="clear" w:fill="FFFFFF"/>
              </w:rPr>
              <w:t>与</w:t>
            </w:r>
          </w:p>
          <w:p>
            <w:pPr>
              <w:spacing w:line="400" w:lineRule="exact"/>
              <w:ind w:left="0" w:leftChars="0" w:firstLine="0" w:firstLineChars="0"/>
              <w:jc w:val="center"/>
              <w:rPr>
                <w:rFonts w:hint="eastAsia" w:asciiTheme="minorEastAsia" w:hAnsiTheme="minorEastAsia" w:eastAsiaTheme="minorEastAsia" w:cstheme="minorEastAsia"/>
                <w:b/>
                <w:bCs/>
                <w:i w:val="0"/>
                <w:iCs w:val="0"/>
                <w:caps w:val="0"/>
                <w:color w:val="333333"/>
                <w:spacing w:val="0"/>
                <w:sz w:val="21"/>
                <w:szCs w:val="21"/>
                <w:shd w:val="clear" w:fill="FFFFFF"/>
              </w:rPr>
            </w:pPr>
            <w:r>
              <w:rPr>
                <w:rFonts w:hint="eastAsia" w:asciiTheme="minorEastAsia" w:hAnsiTheme="minorEastAsia" w:eastAsiaTheme="minorEastAsia" w:cstheme="minorEastAsia"/>
                <w:b/>
                <w:bCs/>
                <w:i w:val="0"/>
                <w:iCs w:val="0"/>
                <w:caps w:val="0"/>
                <w:color w:val="333333"/>
                <w:spacing w:val="0"/>
                <w:sz w:val="21"/>
                <w:szCs w:val="21"/>
                <w:shd w:val="clear" w:fill="FFFFFF"/>
              </w:rPr>
              <w:t>化工</w:t>
            </w:r>
          </w:p>
          <w:p>
            <w:pPr>
              <w:spacing w:line="400" w:lineRule="exact"/>
              <w:ind w:left="0" w:leftChars="0" w:firstLine="0" w:firstLineChars="0"/>
              <w:jc w:val="center"/>
              <w:rPr>
                <w:rFonts w:hint="eastAsia" w:asciiTheme="minorEastAsia" w:hAnsiTheme="minorEastAsia" w:eastAsiaTheme="minorEastAsia" w:cstheme="minorEastAsia"/>
                <w:b/>
                <w:bCs/>
                <w:color w:val="0A0A0A"/>
                <w:sz w:val="21"/>
                <w:szCs w:val="21"/>
              </w:rPr>
            </w:pPr>
            <w:r>
              <w:rPr>
                <w:rFonts w:hint="eastAsia" w:asciiTheme="minorEastAsia" w:hAnsiTheme="minorEastAsia" w:eastAsiaTheme="minorEastAsia" w:cstheme="minorEastAsia"/>
                <w:b/>
                <w:bCs/>
                <w:i w:val="0"/>
                <w:iCs w:val="0"/>
                <w:caps w:val="0"/>
                <w:color w:val="333333"/>
                <w:spacing w:val="0"/>
                <w:sz w:val="21"/>
                <w:szCs w:val="21"/>
                <w:shd w:val="clear" w:fill="FFFFFF"/>
              </w:rPr>
              <w:t>大类</w:t>
            </w:r>
          </w:p>
        </w:tc>
        <w:tc>
          <w:tcPr>
            <w:tcW w:w="855" w:type="dxa"/>
            <w:vMerge w:val="restart"/>
            <w:noWrap w:val="0"/>
            <w:vAlign w:val="center"/>
          </w:tcPr>
          <w:p>
            <w:pPr>
              <w:spacing w:line="400" w:lineRule="exact"/>
              <w:ind w:left="0" w:leftChars="0" w:firstLine="0" w:firstLineChars="0"/>
              <w:jc w:val="center"/>
              <w:rPr>
                <w:rFonts w:hint="eastAsia" w:asciiTheme="minorEastAsia" w:hAnsiTheme="minorEastAsia" w:eastAsiaTheme="minorEastAsia" w:cstheme="minorEastAsia"/>
                <w:b/>
                <w:bCs/>
                <w:i w:val="0"/>
                <w:iCs w:val="0"/>
                <w:caps w:val="0"/>
                <w:color w:val="333333"/>
                <w:spacing w:val="0"/>
                <w:sz w:val="21"/>
                <w:szCs w:val="21"/>
                <w:shd w:val="clear" w:fill="FFFFFF"/>
              </w:rPr>
            </w:pPr>
            <w:r>
              <w:rPr>
                <w:rFonts w:hint="eastAsia" w:asciiTheme="minorEastAsia" w:hAnsiTheme="minorEastAsia" w:eastAsiaTheme="minorEastAsia" w:cstheme="minorEastAsia"/>
                <w:b/>
                <w:bCs/>
                <w:i w:val="0"/>
                <w:iCs w:val="0"/>
                <w:caps w:val="0"/>
                <w:color w:val="333333"/>
                <w:spacing w:val="0"/>
                <w:sz w:val="21"/>
                <w:szCs w:val="21"/>
                <w:shd w:val="clear" w:fill="FFFFFF"/>
              </w:rPr>
              <w:t>化工</w:t>
            </w:r>
          </w:p>
          <w:p>
            <w:pPr>
              <w:spacing w:line="400" w:lineRule="exact"/>
              <w:ind w:left="0" w:leftChars="0" w:firstLine="0" w:firstLineChars="0"/>
              <w:jc w:val="center"/>
              <w:rPr>
                <w:rFonts w:hint="eastAsia" w:asciiTheme="minorEastAsia" w:hAnsiTheme="minorEastAsia" w:eastAsiaTheme="minorEastAsia" w:cstheme="minorEastAsia"/>
                <w:b/>
                <w:bCs/>
                <w:i w:val="0"/>
                <w:iCs w:val="0"/>
                <w:caps w:val="0"/>
                <w:color w:val="333333"/>
                <w:spacing w:val="0"/>
                <w:sz w:val="21"/>
                <w:szCs w:val="21"/>
                <w:shd w:val="clear" w:fill="FFFFFF"/>
              </w:rPr>
            </w:pPr>
            <w:r>
              <w:rPr>
                <w:rFonts w:hint="eastAsia" w:asciiTheme="minorEastAsia" w:hAnsiTheme="minorEastAsia" w:eastAsiaTheme="minorEastAsia" w:cstheme="minorEastAsia"/>
                <w:b/>
                <w:bCs/>
                <w:i w:val="0"/>
                <w:iCs w:val="0"/>
                <w:caps w:val="0"/>
                <w:color w:val="333333"/>
                <w:spacing w:val="0"/>
                <w:sz w:val="21"/>
                <w:szCs w:val="21"/>
                <w:shd w:val="clear" w:fill="FFFFFF"/>
              </w:rPr>
              <w:t>技术</w:t>
            </w:r>
          </w:p>
          <w:p>
            <w:pPr>
              <w:spacing w:line="400" w:lineRule="exact"/>
              <w:ind w:left="0" w:leftChars="0" w:firstLine="0" w:firstLineChars="0"/>
              <w:jc w:val="center"/>
              <w:rPr>
                <w:rFonts w:hint="eastAsia" w:asciiTheme="minorEastAsia" w:hAnsiTheme="minorEastAsia" w:eastAsiaTheme="minorEastAsia" w:cstheme="minorEastAsia"/>
                <w:b/>
                <w:bCs/>
                <w:i w:val="0"/>
                <w:iCs w:val="0"/>
                <w:caps w:val="0"/>
                <w:color w:val="333333"/>
                <w:spacing w:val="0"/>
                <w:sz w:val="21"/>
                <w:szCs w:val="21"/>
                <w:shd w:val="clear" w:fill="FFFFFF"/>
              </w:rPr>
            </w:pPr>
            <w:r>
              <w:rPr>
                <w:rFonts w:hint="eastAsia" w:asciiTheme="minorEastAsia" w:hAnsiTheme="minorEastAsia" w:eastAsiaTheme="minorEastAsia" w:cstheme="minorEastAsia"/>
                <w:b/>
                <w:bCs/>
                <w:i w:val="0"/>
                <w:iCs w:val="0"/>
                <w:caps w:val="0"/>
                <w:color w:val="333333"/>
                <w:spacing w:val="0"/>
                <w:sz w:val="21"/>
                <w:szCs w:val="21"/>
                <w:shd w:val="clear" w:fill="FFFFFF"/>
              </w:rPr>
              <w:t>类</w:t>
            </w:r>
          </w:p>
          <w:p>
            <w:pPr>
              <w:spacing w:line="400" w:lineRule="exact"/>
              <w:ind w:left="0" w:leftChars="0" w:firstLine="0" w:firstLineChars="0"/>
              <w:jc w:val="center"/>
              <w:rPr>
                <w:rFonts w:hint="eastAsia" w:asciiTheme="minorEastAsia" w:hAnsiTheme="minorEastAsia" w:eastAsiaTheme="minorEastAsia" w:cstheme="minorEastAsia"/>
                <w:b/>
                <w:bCs/>
                <w:color w:val="0A0A0A"/>
                <w:sz w:val="21"/>
                <w:szCs w:val="21"/>
              </w:rPr>
            </w:pPr>
          </w:p>
        </w:tc>
        <w:tc>
          <w:tcPr>
            <w:tcW w:w="825" w:type="dxa"/>
            <w:vMerge w:val="restart"/>
            <w:noWrap w:val="0"/>
            <w:vAlign w:val="center"/>
          </w:tcPr>
          <w:p>
            <w:pPr>
              <w:pStyle w:val="66"/>
              <w:spacing w:line="400" w:lineRule="exact"/>
              <w:ind w:left="0" w:leftChars="0" w:firstLine="0" w:firstLineChars="0"/>
              <w:jc w:val="center"/>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分析</w:t>
            </w:r>
          </w:p>
          <w:p>
            <w:pPr>
              <w:pStyle w:val="66"/>
              <w:spacing w:line="400" w:lineRule="exact"/>
              <w:ind w:left="0" w:leftChars="0" w:firstLine="0" w:firstLineChars="0"/>
              <w:jc w:val="center"/>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检验</w:t>
            </w:r>
          </w:p>
          <w:p>
            <w:pPr>
              <w:pStyle w:val="66"/>
              <w:spacing w:line="400" w:lineRule="exact"/>
              <w:ind w:left="0" w:leftChars="0"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kern w:val="0"/>
                <w:sz w:val="21"/>
                <w:szCs w:val="21"/>
                <w:lang w:eastAsia="zh-CN"/>
              </w:rPr>
              <w:t>技术</w:t>
            </w:r>
            <w:r>
              <w:rPr>
                <w:rFonts w:hint="eastAsia" w:asciiTheme="minorEastAsia" w:hAnsiTheme="minorEastAsia" w:eastAsiaTheme="minorEastAsia" w:cstheme="minorEastAsia"/>
                <w:color w:val="FF0000"/>
                <w:sz w:val="21"/>
                <w:szCs w:val="21"/>
              </w:rPr>
              <w:t xml:space="preserve"> </w:t>
            </w:r>
            <w:r>
              <w:rPr>
                <w:rFonts w:hint="eastAsia" w:asciiTheme="minorEastAsia" w:hAnsiTheme="minorEastAsia" w:eastAsiaTheme="minorEastAsia" w:cstheme="minorEastAsia"/>
                <w:color w:val="auto"/>
                <w:sz w:val="21"/>
                <w:szCs w:val="21"/>
              </w:rPr>
              <w:t>060200</w:t>
            </w: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选择产品分析方法</w:t>
            </w:r>
          </w:p>
        </w:tc>
        <w:tc>
          <w:tcPr>
            <w:tcW w:w="4275" w:type="dxa"/>
            <w:noWrap w:val="0"/>
            <w:vAlign w:val="center"/>
          </w:tcPr>
          <w:p>
            <w:pPr>
              <w:spacing w:line="40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能根据国家标准或行业标准选择合适的产品分析方法；</w:t>
            </w:r>
          </w:p>
          <w:p>
            <w:pPr>
              <w:spacing w:line="40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具备较强的执行各种分析方法的能力，能严格贯彻执行操作规程完成产品质量检验工作；</w:t>
            </w:r>
          </w:p>
        </w:tc>
        <w:tc>
          <w:tcPr>
            <w:tcW w:w="1380" w:type="dxa"/>
            <w:vMerge w:val="restart"/>
            <w:noWrap w:val="0"/>
            <w:vAlign w:val="center"/>
          </w:tcPr>
          <w:p>
            <w:pPr>
              <w:spacing w:line="400" w:lineRule="exact"/>
              <w:ind w:left="0" w:leftChars="0" w:firstLine="0" w:firstLineChars="0"/>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化学检验工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常用仪器的选择与使用</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能正确选择和熟练使用常用的仪器和工具进行各类试样的处理；</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试样的采集</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能使用合适采样工具，正确填写采样登记表，制备固体样品以及样品的保存和管理；</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制备固体试样</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能选择合适的溶剂，能选择合适的方法分离试样，能对试样进行浓缩和富集；</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制备溶液及试剂</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能进行试样的称量，能配制一般溶液和标准溶液，能配制缓冲溶液和指示剂；</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进行数据的分析处理</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能准确地对实验数据进行分析和处理，并根据结果对产品质量进行跟踪评价，发现并报告影响产品质量的潜在风险；</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常用分析仪器的检（校）验</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进行常规的容量分析检验，能利用酸碱滴定、配位滴定、氧化还原滴定、沉淀滴定和重量分析法进行试样的分析检测工作；</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使用各类常规仪器（光谱，色谱，电位等仪器）进行分析工作</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能够熟练进行仪器分析，使用各种常用（紫外分析仪，气液相色谱仪，电位分析仪）仪器对产品进行分析、检测；</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进行物理常数测定</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能进行熔点、沸点、密度、折光率、旋光度、粘度等仪器的常规测定工作；</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进行工业产品的检测</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能测定各类无机产品的主要成分含量和杂质含量，能测定有机产品的元素含量和官能团含量；</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完成撰写产品质量分析报告</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能完成产品质量指标的检测，能正确、规范的报告检测结果，完成撰写产品质量分析报告；</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实验室安全管理，常用设备的日常管理与维护</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具备初步的检测实验室的安全、常用设备、试剂、试样、资料的管理能力，从事基层检测实验室的日常管理工作；</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进行大气监测</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能使用大气采集器具，能测定大气中二氧化硫，氮氧化合物的含量，能测定大气中TSP、PM10(或PM2.5)、粉尘，能测定汽车尾气中的有害物质；</w:t>
            </w:r>
          </w:p>
        </w:tc>
        <w:tc>
          <w:tcPr>
            <w:tcW w:w="1380" w:type="dxa"/>
            <w:vMerge w:val="restart"/>
            <w:noWrap w:val="0"/>
            <w:vAlign w:val="center"/>
          </w:tcPr>
          <w:p>
            <w:pPr>
              <w:widowControl/>
              <w:spacing w:before="100" w:beforeAutospacing="1" w:after="100" w:afterAutospacing="1" w:line="400" w:lineRule="exact"/>
              <w:ind w:left="0" w:leftChars="0" w:firstLine="0" w:firstLineChars="0"/>
              <w:jc w:val="center"/>
              <w:outlineLvl w:val="1"/>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环境监测工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进行水体监测</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能使用常用水体采样器具，能测定水体中COD，BOD含量，能测定水体中氨氮和总氮含量，以及氟含量和镉含量；</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bCs/>
                <w:kern w:val="0"/>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进行常规食品检测检验</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能进行样品的采集、前处理和保存，能进行食品中水分，灰分量测定，能测定食品中碳水化合物，脂肪和蛋白质的含量；</w:t>
            </w:r>
          </w:p>
        </w:tc>
        <w:tc>
          <w:tcPr>
            <w:tcW w:w="1380" w:type="dxa"/>
            <w:vMerge w:val="restart"/>
            <w:noWrap w:val="0"/>
            <w:vAlign w:val="center"/>
          </w:tcPr>
          <w:p>
            <w:pPr>
              <w:spacing w:line="400" w:lineRule="exact"/>
              <w:ind w:left="0" w:leftChars="0" w:firstLine="0" w:firstLineChars="0"/>
              <w:jc w:val="center"/>
              <w:rPr>
                <w:rFonts w:hint="eastAsia" w:ascii="宋体" w:hAnsi="宋体"/>
                <w:bCs/>
                <w:sz w:val="21"/>
                <w:szCs w:val="21"/>
              </w:rPr>
            </w:pPr>
            <w:r>
              <w:rPr>
                <w:rFonts w:hint="eastAsia" w:ascii="宋体" w:hAnsi="宋体"/>
                <w:bCs/>
                <w:sz w:val="21"/>
                <w:szCs w:val="21"/>
              </w:rPr>
              <w:t>食品检测工</w:t>
            </w:r>
          </w:p>
          <w:p>
            <w:pPr>
              <w:widowControl/>
              <w:spacing w:before="100" w:beforeAutospacing="1" w:after="100" w:afterAutospacing="1" w:line="400" w:lineRule="exact"/>
              <w:ind w:left="0" w:leftChars="0" w:firstLine="0" w:firstLineChars="0"/>
              <w:jc w:val="center"/>
              <w:outlineLvl w:val="1"/>
              <w:rPr>
                <w:rFonts w:hint="eastAsia" w:asciiTheme="minorEastAsia" w:hAnsiTheme="minorEastAsia" w:eastAsiaTheme="minorEastAsia" w:cstheme="minorEastAsia"/>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进行食品添加剂的含量测定</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测定食品中甜味素含量、山梨酸钾含量和二氧化硫含量，能测定食品中亚硝酸盐和柠檬黄含量；</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b/>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进行药物的采集和检测准备</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能识读药典，能使用常用药品的取样工具，能采集和制备药品的试样；</w:t>
            </w:r>
          </w:p>
        </w:tc>
        <w:tc>
          <w:tcPr>
            <w:tcW w:w="1380" w:type="dxa"/>
            <w:vMerge w:val="restart"/>
            <w:noWrap w:val="0"/>
            <w:vAlign w:val="center"/>
          </w:tcPr>
          <w:p>
            <w:pPr>
              <w:spacing w:line="400" w:lineRule="exact"/>
              <w:ind w:left="0" w:leftChars="0" w:firstLine="0" w:firstLineChars="0"/>
              <w:jc w:val="center"/>
              <w:rPr>
                <w:rFonts w:hint="eastAsia" w:ascii="宋体" w:hAnsi="宋体"/>
                <w:bCs/>
                <w:sz w:val="21"/>
                <w:szCs w:val="21"/>
              </w:rPr>
            </w:pPr>
            <w:r>
              <w:rPr>
                <w:rFonts w:hint="eastAsia" w:ascii="宋体" w:hAnsi="宋体"/>
                <w:bCs/>
                <w:sz w:val="21"/>
                <w:szCs w:val="21"/>
              </w:rPr>
              <w:t>药物检验工</w:t>
            </w:r>
          </w:p>
          <w:p>
            <w:pPr>
              <w:widowControl/>
              <w:spacing w:before="100" w:beforeAutospacing="1" w:after="100" w:afterAutospacing="1" w:line="400" w:lineRule="exact"/>
              <w:ind w:left="0" w:leftChars="0" w:firstLine="0" w:firstLineChars="0"/>
              <w:jc w:val="center"/>
              <w:outlineLvl w:val="1"/>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观测、鉴别、检查药品</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能观测药品的性状和测定物理常数，进行药品的鉴别，检查药品中的一般杂质，测定药品的含量；</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080"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55" w:type="dxa"/>
            <w:vMerge w:val="continue"/>
            <w:noWrap w:val="0"/>
            <w:vAlign w:val="center"/>
          </w:tcPr>
          <w:p>
            <w:pPr>
              <w:spacing w:line="400" w:lineRule="exact"/>
              <w:jc w:val="center"/>
              <w:rPr>
                <w:rFonts w:hint="eastAsia" w:asciiTheme="minorEastAsia" w:hAnsiTheme="minorEastAsia" w:eastAsiaTheme="minorEastAsia" w:cstheme="minorEastAsia"/>
                <w:b/>
                <w:bCs/>
                <w:color w:val="0A0A0A"/>
                <w:sz w:val="21"/>
                <w:szCs w:val="21"/>
              </w:rPr>
            </w:pPr>
          </w:p>
        </w:tc>
        <w:tc>
          <w:tcPr>
            <w:tcW w:w="825" w:type="dxa"/>
            <w:vMerge w:val="continue"/>
            <w:noWrap w:val="0"/>
            <w:vAlign w:val="center"/>
          </w:tcPr>
          <w:p>
            <w:pPr>
              <w:pStyle w:val="66"/>
              <w:spacing w:line="400" w:lineRule="exact"/>
              <w:jc w:val="center"/>
              <w:rPr>
                <w:rFonts w:hint="eastAsia" w:asciiTheme="minorEastAsia" w:hAnsiTheme="minorEastAsia" w:eastAsiaTheme="minorEastAsia" w:cstheme="minorEastAsia"/>
                <w:sz w:val="21"/>
                <w:szCs w:val="21"/>
              </w:rPr>
            </w:pPr>
          </w:p>
        </w:tc>
        <w:tc>
          <w:tcPr>
            <w:tcW w:w="1335" w:type="dxa"/>
            <w:noWrap w:val="0"/>
            <w:vAlign w:val="center"/>
          </w:tcPr>
          <w:p>
            <w:pPr>
              <w:spacing w:line="400" w:lineRule="exact"/>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测定常规药品</w:t>
            </w:r>
          </w:p>
        </w:tc>
        <w:tc>
          <w:tcPr>
            <w:tcW w:w="4275" w:type="dxa"/>
            <w:noWrap w:val="0"/>
            <w:vAlign w:val="center"/>
          </w:tcPr>
          <w:p>
            <w:pPr>
              <w:widowControl/>
              <w:spacing w:before="100" w:beforeAutospacing="1" w:after="100" w:afterAutospacing="1" w:line="400" w:lineRule="exact"/>
              <w:jc w:val="left"/>
              <w:outlineLvl w:val="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能测定常规药品如阿司匹林片、维生素C、磺胺嘧啶、活性性钙片、氯化铵片、维生素B12、注射用头孢拉定以及藿香正气水的含量；</w:t>
            </w:r>
          </w:p>
        </w:tc>
        <w:tc>
          <w:tcPr>
            <w:tcW w:w="1380" w:type="dxa"/>
            <w:vMerge w:val="continue"/>
            <w:noWrap w:val="0"/>
            <w:vAlign w:val="center"/>
          </w:tcPr>
          <w:p>
            <w:pPr>
              <w:widowControl/>
              <w:spacing w:before="100" w:beforeAutospacing="1" w:after="100" w:afterAutospacing="1" w:line="400" w:lineRule="exact"/>
              <w:jc w:val="center"/>
              <w:outlineLvl w:val="1"/>
              <w:rPr>
                <w:rFonts w:hint="eastAsia" w:asciiTheme="minorEastAsia" w:hAnsiTheme="minorEastAsia" w:eastAsiaTheme="minorEastAsia" w:cstheme="minorEastAsia"/>
                <w:sz w:val="21"/>
                <w:szCs w:val="21"/>
              </w:rPr>
            </w:pPr>
          </w:p>
        </w:tc>
      </w:tr>
    </w:tbl>
    <w:p>
      <w:pPr>
        <w:rPr>
          <w:rFonts w:hint="eastAsia"/>
        </w:rPr>
      </w:pPr>
      <w:r>
        <w:rPr>
          <w:rFonts w:hint="eastAsia"/>
        </w:rPr>
        <w:t>其中各种技能证书考核安排如表2所示。</w:t>
      </w:r>
    </w:p>
    <w:p>
      <w:pPr>
        <w:pStyle w:val="73"/>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表2各种技能证书考核安排</w:t>
      </w:r>
    </w:p>
    <w:tbl>
      <w:tblPr>
        <w:tblStyle w:val="23"/>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545"/>
        <w:gridCol w:w="1080"/>
        <w:gridCol w:w="1703"/>
        <w:gridCol w:w="692"/>
        <w:gridCol w:w="81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restart"/>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bookmarkStart w:id="3" w:name="_Hlk9199653"/>
            <w:r>
              <w:rPr>
                <w:rFonts w:hint="eastAsia"/>
                <w:b/>
                <w:bCs/>
              </w:rPr>
              <w:t>序号</w:t>
            </w:r>
          </w:p>
        </w:tc>
        <w:tc>
          <w:tcPr>
            <w:tcW w:w="3545" w:type="dxa"/>
            <w:vMerge w:val="restart"/>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考核项目</w:t>
            </w:r>
          </w:p>
        </w:tc>
        <w:tc>
          <w:tcPr>
            <w:tcW w:w="1080" w:type="dxa"/>
            <w:vMerge w:val="restart"/>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等级要求</w:t>
            </w:r>
          </w:p>
        </w:tc>
        <w:tc>
          <w:tcPr>
            <w:tcW w:w="1703" w:type="dxa"/>
            <w:vMerge w:val="restart"/>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考核学期</w:t>
            </w:r>
          </w:p>
        </w:tc>
        <w:tc>
          <w:tcPr>
            <w:tcW w:w="1502" w:type="dxa"/>
            <w:gridSpan w:val="2"/>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类型</w:t>
            </w:r>
          </w:p>
        </w:tc>
        <w:tc>
          <w:tcPr>
            <w:tcW w:w="669" w:type="dxa"/>
            <w:vMerge w:val="restart"/>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continue"/>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545" w:type="dxa"/>
            <w:vMerge w:val="continue"/>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1080" w:type="dxa"/>
            <w:vMerge w:val="continue"/>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1703" w:type="dxa"/>
            <w:vMerge w:val="continue"/>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692"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必考</w:t>
            </w:r>
          </w:p>
        </w:tc>
        <w:tc>
          <w:tcPr>
            <w:tcW w:w="81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选考</w:t>
            </w:r>
          </w:p>
        </w:tc>
        <w:tc>
          <w:tcPr>
            <w:tcW w:w="669" w:type="dxa"/>
            <w:vMerge w:val="continue"/>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rPr>
              <w:t>1</w:t>
            </w:r>
          </w:p>
        </w:tc>
        <w:tc>
          <w:tcPr>
            <w:tcW w:w="3545"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asciiTheme="minorEastAsia" w:hAnsiTheme="minorEastAsia" w:eastAsiaTheme="minorEastAsia" w:cstheme="minorEastAsia"/>
                <w:bCs/>
                <w:sz w:val="21"/>
                <w:szCs w:val="21"/>
                <w:lang w:eastAsia="zh-CN"/>
              </w:rPr>
              <w:t>化学检验工</w:t>
            </w:r>
          </w:p>
        </w:tc>
        <w:tc>
          <w:tcPr>
            <w:tcW w:w="10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lang w:eastAsia="zh-CN"/>
              </w:rPr>
              <w:t>中级</w:t>
            </w:r>
          </w:p>
        </w:tc>
        <w:tc>
          <w:tcPr>
            <w:tcW w:w="1703"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lang w:val="en-US" w:eastAsia="zh-CN"/>
              </w:rPr>
              <w:t>4</w:t>
            </w:r>
          </w:p>
        </w:tc>
        <w:tc>
          <w:tcPr>
            <w:tcW w:w="692"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default" w:ascii="Arial" w:hAnsi="Arial" w:cs="Arial"/>
              </w:rPr>
              <w:t>√</w:t>
            </w:r>
          </w:p>
        </w:tc>
        <w:tc>
          <w:tcPr>
            <w:tcW w:w="81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669"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rPr>
              <w:t>2</w:t>
            </w:r>
          </w:p>
        </w:tc>
        <w:tc>
          <w:tcPr>
            <w:tcW w:w="3545"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FF0000"/>
                <w:lang w:val="en-US" w:eastAsia="zh-CN"/>
              </w:rPr>
            </w:pPr>
            <w:r>
              <w:rPr>
                <w:rFonts w:hint="eastAsia"/>
                <w:color w:val="auto"/>
                <w:lang w:eastAsia="zh-CN"/>
              </w:rPr>
              <w:t>环境监测工</w:t>
            </w:r>
          </w:p>
        </w:tc>
        <w:tc>
          <w:tcPr>
            <w:tcW w:w="10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lang w:eastAsia="zh-CN"/>
              </w:rPr>
              <w:t>初级</w:t>
            </w:r>
          </w:p>
        </w:tc>
        <w:tc>
          <w:tcPr>
            <w:tcW w:w="1703"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5</w:t>
            </w:r>
          </w:p>
        </w:tc>
        <w:tc>
          <w:tcPr>
            <w:tcW w:w="692"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81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default" w:ascii="Arial" w:hAnsi="Arial" w:cs="Arial"/>
              </w:rPr>
              <w:t>√</w:t>
            </w:r>
          </w:p>
        </w:tc>
        <w:tc>
          <w:tcPr>
            <w:tcW w:w="669"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t>3</w:t>
            </w:r>
          </w:p>
        </w:tc>
        <w:tc>
          <w:tcPr>
            <w:tcW w:w="3545" w:type="dxa"/>
            <w:vAlign w:val="center"/>
          </w:tcPr>
          <w:p>
            <w:pPr>
              <w:widowControl/>
              <w:spacing w:before="100" w:beforeAutospacing="1" w:after="100" w:afterAutospacing="1" w:line="400" w:lineRule="exact"/>
              <w:ind w:left="0" w:leftChars="0" w:firstLine="0" w:firstLineChars="0"/>
              <w:jc w:val="center"/>
              <w:outlineLvl w:val="1"/>
              <w:rPr>
                <w:rFonts w:hint="eastAsia" w:asciiTheme="minorEastAsia" w:hAnsiTheme="minorEastAsia" w:eastAsiaTheme="minorEastAsia" w:cstheme="minorEastAsia"/>
                <w:b w:val="0"/>
                <w:bCs/>
                <w:kern w:val="2"/>
                <w:sz w:val="21"/>
                <w:szCs w:val="21"/>
                <w:lang w:val="en-US" w:eastAsia="zh-CN" w:bidi="ar-SA"/>
              </w:rPr>
            </w:pPr>
            <w:r>
              <w:rPr>
                <w:rFonts w:hint="eastAsia" w:asciiTheme="minorEastAsia" w:hAnsiTheme="minorEastAsia" w:eastAsiaTheme="minorEastAsia" w:cstheme="minorEastAsia"/>
                <w:b w:val="0"/>
                <w:bCs/>
                <w:sz w:val="21"/>
                <w:szCs w:val="21"/>
              </w:rPr>
              <w:t>食品检测工</w:t>
            </w:r>
          </w:p>
        </w:tc>
        <w:tc>
          <w:tcPr>
            <w:tcW w:w="10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lang w:eastAsia="zh-CN"/>
              </w:rPr>
              <w:t>初级</w:t>
            </w:r>
          </w:p>
        </w:tc>
        <w:tc>
          <w:tcPr>
            <w:tcW w:w="1703"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6</w:t>
            </w:r>
          </w:p>
        </w:tc>
        <w:tc>
          <w:tcPr>
            <w:tcW w:w="692"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81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default" w:ascii="Arial" w:hAnsi="Arial" w:cs="Arial"/>
              </w:rPr>
              <w:t>√</w:t>
            </w:r>
          </w:p>
        </w:tc>
        <w:tc>
          <w:tcPr>
            <w:tcW w:w="669"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rPr>
              <w:t>4</w:t>
            </w:r>
          </w:p>
        </w:tc>
        <w:tc>
          <w:tcPr>
            <w:tcW w:w="3545"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asciiTheme="minorEastAsia" w:hAnsiTheme="minorEastAsia" w:eastAsiaTheme="minorEastAsia" w:cstheme="minorEastAsia"/>
                <w:b w:val="0"/>
                <w:bCs/>
                <w:sz w:val="21"/>
                <w:szCs w:val="21"/>
              </w:rPr>
              <w:t>药物检验工</w:t>
            </w:r>
          </w:p>
        </w:tc>
        <w:tc>
          <w:tcPr>
            <w:tcW w:w="108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lang w:eastAsia="zh-CN"/>
              </w:rPr>
              <w:t>初级</w:t>
            </w:r>
          </w:p>
        </w:tc>
        <w:tc>
          <w:tcPr>
            <w:tcW w:w="1703"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6</w:t>
            </w:r>
          </w:p>
        </w:tc>
        <w:tc>
          <w:tcPr>
            <w:tcW w:w="692"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810"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default" w:ascii="Arial" w:hAnsi="Arial" w:cs="Arial"/>
              </w:rPr>
              <w:t>√</w:t>
            </w:r>
          </w:p>
        </w:tc>
        <w:tc>
          <w:tcPr>
            <w:tcW w:w="669" w:type="dxa"/>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2</w:t>
            </w:r>
          </w:p>
        </w:tc>
      </w:tr>
      <w:bookmarkEnd w:id="3"/>
    </w:tbl>
    <w:p>
      <w:pPr>
        <w:pStyle w:val="72"/>
        <w:ind w:left="0" w:leftChars="0" w:firstLine="0" w:firstLineChars="0"/>
      </w:pPr>
      <w:bookmarkStart w:id="4" w:name="_Toc17537281"/>
    </w:p>
    <w:p>
      <w:pPr>
        <w:pStyle w:val="72"/>
        <w:ind w:left="0" w:leftChars="0" w:firstLine="0" w:firstLineChars="0"/>
      </w:pPr>
      <w:r>
        <w:t>五、培养目标与培养规格</w:t>
      </w:r>
      <w:bookmarkEnd w:id="4"/>
    </w:p>
    <w:p>
      <w:pPr>
        <w:pStyle w:val="47"/>
        <w:ind w:firstLine="562"/>
        <w:rPr>
          <w:color w:val="auto"/>
        </w:rPr>
      </w:pPr>
      <w:bookmarkStart w:id="5" w:name="_Toc17537282"/>
      <w:r>
        <w:rPr>
          <w:color w:val="auto"/>
        </w:rPr>
        <w:t>（一）培养目标</w:t>
      </w:r>
      <w:bookmarkEnd w:id="5"/>
    </w:p>
    <w:p>
      <w:pPr>
        <w:spacing w:line="400" w:lineRule="exact"/>
        <w:ind w:firstLine="480" w:firstLineChars="200"/>
        <w:rPr>
          <w:rFonts w:hint="eastAsia" w:ascii="宋体" w:hAnsi="宋体" w:cs="宋体"/>
          <w:color w:val="auto"/>
          <w:sz w:val="24"/>
          <w:szCs w:val="24"/>
        </w:rPr>
      </w:pPr>
      <w:r>
        <w:rPr>
          <w:rFonts w:hint="eastAsia" w:ascii="宋体" w:hAnsi="宋体" w:cs="宋体"/>
          <w:color w:val="auto"/>
          <w:sz w:val="24"/>
          <w:szCs w:val="24"/>
        </w:rPr>
        <w:t xml:space="preserve"> 按照工学结合的原则，根据分析</w:t>
      </w:r>
      <w:r>
        <w:rPr>
          <w:rFonts w:hint="eastAsia" w:ascii="宋体" w:hAnsi="宋体" w:cs="宋体"/>
          <w:color w:val="auto"/>
          <w:sz w:val="24"/>
          <w:szCs w:val="24"/>
          <w:lang w:eastAsia="zh-CN"/>
        </w:rPr>
        <w:t>检验</w:t>
      </w:r>
      <w:r>
        <w:rPr>
          <w:rFonts w:hint="eastAsia" w:ascii="宋体" w:hAnsi="宋体" w:cs="宋体"/>
          <w:color w:val="auto"/>
          <w:sz w:val="24"/>
          <w:szCs w:val="24"/>
        </w:rPr>
        <w:t>专业工作岗位对人才知识、技能和素质要求，制订本专业的人才培养目标：</w:t>
      </w:r>
      <w:r>
        <w:rPr>
          <w:rFonts w:hint="eastAsia" w:ascii="宋体" w:hAnsi="宋体"/>
          <w:bCs/>
          <w:color w:val="auto"/>
          <w:sz w:val="24"/>
        </w:rPr>
        <w:t>本专业主要面向工业产品生产（包括药品、食品生产）、产品质量监督、环境监测、第三方实验室等相关行业企业，培养具备相关职业领域企业文化理解与沟通能力，能运用分析检测通用技术与工作方法胜任这些企业的生产、服务第一线从事通用分析检验工作的具有相关职业资格和职业生涯发展基础的高素质劳动者和中等技能型人才。</w:t>
      </w:r>
    </w:p>
    <w:p>
      <w:pPr>
        <w:spacing w:line="400" w:lineRule="exact"/>
        <w:ind w:firstLine="480" w:firstLineChars="200"/>
        <w:rPr>
          <w:rFonts w:hint="eastAsia" w:ascii="宋体" w:hAnsi="宋体"/>
          <w:bCs/>
          <w:color w:val="auto"/>
          <w:sz w:val="24"/>
        </w:rPr>
      </w:pPr>
      <w:r>
        <w:rPr>
          <w:rFonts w:hint="eastAsia" w:ascii="宋体" w:hAnsi="宋体"/>
          <w:bCs/>
          <w:color w:val="auto"/>
          <w:sz w:val="24"/>
        </w:rPr>
        <w:t>培养目标包括非专业培养目标与专业培养目标两部分。</w:t>
      </w:r>
    </w:p>
    <w:p>
      <w:pPr>
        <w:spacing w:line="400" w:lineRule="exact"/>
        <w:ind w:firstLine="480" w:firstLineChars="200"/>
        <w:rPr>
          <w:rFonts w:hint="eastAsia" w:ascii="宋体" w:hAnsi="宋体"/>
          <w:bCs/>
          <w:color w:val="auto"/>
          <w:sz w:val="24"/>
        </w:rPr>
      </w:pPr>
      <w:r>
        <w:rPr>
          <w:rFonts w:hint="eastAsia" w:ascii="宋体" w:hAnsi="宋体"/>
          <w:bCs/>
          <w:color w:val="auto"/>
          <w:sz w:val="24"/>
        </w:rPr>
        <w:t>（一）非专业培养目标</w:t>
      </w:r>
    </w:p>
    <w:p>
      <w:pPr>
        <w:spacing w:line="400" w:lineRule="exact"/>
        <w:ind w:firstLine="480" w:firstLineChars="200"/>
        <w:rPr>
          <w:rFonts w:hint="eastAsia" w:ascii="宋体" w:hAnsi="宋体"/>
          <w:bCs/>
          <w:color w:val="auto"/>
          <w:sz w:val="24"/>
        </w:rPr>
      </w:pPr>
      <w:r>
        <w:rPr>
          <w:rFonts w:hint="eastAsia" w:ascii="宋体" w:hAnsi="宋体"/>
          <w:bCs/>
          <w:color w:val="auto"/>
          <w:sz w:val="24"/>
        </w:rPr>
        <w:t>非专业培养目标旨在使学生成为德智体美劳全面发展的一线技术型人才。培养学生具有相应文化水平、良好职业道德素养和社会责任感，使学生具有较强的实际工作能力、学习能力、沟通能力等，为日后的进一步深造做好准备。</w:t>
      </w:r>
    </w:p>
    <w:p>
      <w:pPr>
        <w:spacing w:line="400" w:lineRule="exact"/>
        <w:ind w:firstLine="480" w:firstLineChars="200"/>
        <w:rPr>
          <w:rFonts w:hint="eastAsia" w:ascii="宋体" w:hAnsi="宋体"/>
          <w:bCs/>
          <w:color w:val="auto"/>
          <w:sz w:val="24"/>
        </w:rPr>
      </w:pPr>
      <w:r>
        <w:rPr>
          <w:rFonts w:hint="eastAsia" w:ascii="宋体" w:hAnsi="宋体"/>
          <w:bCs/>
          <w:color w:val="auto"/>
          <w:sz w:val="24"/>
        </w:rPr>
        <w:t>（二）专业培养目标</w:t>
      </w:r>
    </w:p>
    <w:p>
      <w:pPr>
        <w:spacing w:line="400" w:lineRule="exact"/>
        <w:ind w:firstLine="480" w:firstLineChars="200"/>
        <w:rPr>
          <w:rFonts w:hint="eastAsia" w:ascii="宋体" w:hAnsi="宋体"/>
          <w:bCs/>
          <w:color w:val="auto"/>
          <w:sz w:val="24"/>
        </w:rPr>
      </w:pPr>
      <w:r>
        <w:rPr>
          <w:rFonts w:hint="eastAsia" w:ascii="宋体" w:hAnsi="宋体"/>
          <w:bCs/>
          <w:color w:val="auto"/>
          <w:sz w:val="24"/>
        </w:rPr>
        <w:t>专业培养目标是培养面向企业的产品质量检测，包括环境监测、食品质量检测、微生物检测、药物质量检测、无机、有机及高分子材料质量检测等质检部门从事通用的分析检验工作，从事工业产品包括原料、中间体、材料或者食品、药品类的成分分析与检测，以及现代仪器分析等工作的专业技能型人才。</w:t>
      </w:r>
    </w:p>
    <w:p>
      <w:pPr>
        <w:rPr>
          <w:color w:val="auto"/>
        </w:rPr>
      </w:pPr>
    </w:p>
    <w:p>
      <w:pPr>
        <w:pStyle w:val="47"/>
        <w:numPr>
          <w:ilvl w:val="0"/>
          <w:numId w:val="1"/>
        </w:numPr>
        <w:ind w:left="0" w:leftChars="0" w:firstLine="0" w:firstLineChars="0"/>
        <w:rPr>
          <w:color w:val="auto"/>
        </w:rPr>
      </w:pPr>
      <w:bookmarkStart w:id="6" w:name="_Toc17537283"/>
      <w:r>
        <w:rPr>
          <w:color w:val="auto"/>
        </w:rPr>
        <w:t>培养规格</w:t>
      </w:r>
      <w:bookmarkEnd w:id="6"/>
    </w:p>
    <w:p>
      <w:pPr>
        <w:pStyle w:val="51"/>
        <w:ind w:firstLine="562"/>
        <w:rPr>
          <w:rFonts w:hint="eastAsia"/>
          <w:color w:val="auto"/>
        </w:rPr>
      </w:pPr>
      <w:r>
        <w:rPr>
          <w:color w:val="auto"/>
        </w:rPr>
        <w:t>1.</w:t>
      </w:r>
      <w:r>
        <w:rPr>
          <w:rFonts w:hint="eastAsia"/>
          <w:color w:val="auto"/>
        </w:rPr>
        <w:t>素质</w:t>
      </w:r>
    </w:p>
    <w:p>
      <w:pPr>
        <w:spacing w:line="400" w:lineRule="exact"/>
        <w:ind w:firstLine="480" w:firstLineChars="200"/>
        <w:rPr>
          <w:rFonts w:hint="eastAsia" w:ascii="宋体" w:hAnsi="宋体"/>
          <w:bCs/>
          <w:color w:val="auto"/>
          <w:sz w:val="24"/>
        </w:rPr>
      </w:pPr>
      <w:r>
        <w:rPr>
          <w:rFonts w:hint="eastAsia" w:ascii="宋体" w:hAnsi="宋体"/>
          <w:bCs/>
          <w:color w:val="auto"/>
          <w:sz w:val="24"/>
        </w:rPr>
        <w:t>（1）具有良好的思想政治素质、职业道德、行为规范和遵纪守法精神</w:t>
      </w:r>
    </w:p>
    <w:p>
      <w:pPr>
        <w:spacing w:line="400" w:lineRule="exact"/>
        <w:ind w:firstLine="480" w:firstLineChars="200"/>
        <w:rPr>
          <w:rFonts w:hint="eastAsia" w:ascii="宋体" w:hAnsi="宋体"/>
          <w:bCs/>
          <w:color w:val="auto"/>
          <w:sz w:val="24"/>
        </w:rPr>
      </w:pPr>
      <w:r>
        <w:rPr>
          <w:rFonts w:hint="eastAsia" w:ascii="宋体" w:hAnsi="宋体"/>
          <w:bCs/>
          <w:color w:val="auto"/>
          <w:sz w:val="24"/>
        </w:rPr>
        <w:t>（2）具有一定的逻辑思维、分析判断能力和语言文字表达能力</w:t>
      </w:r>
    </w:p>
    <w:p>
      <w:pPr>
        <w:spacing w:line="400" w:lineRule="exact"/>
        <w:ind w:firstLine="480" w:firstLineChars="200"/>
        <w:rPr>
          <w:rFonts w:hint="eastAsia" w:ascii="宋体" w:hAnsi="宋体"/>
          <w:bCs/>
          <w:color w:val="auto"/>
          <w:sz w:val="24"/>
        </w:rPr>
      </w:pPr>
      <w:r>
        <w:rPr>
          <w:rFonts w:hint="eastAsia" w:ascii="宋体" w:hAnsi="宋体"/>
          <w:bCs/>
          <w:color w:val="auto"/>
          <w:sz w:val="24"/>
        </w:rPr>
        <w:t>（3）具有化工企业安全生产、环保与节能意识，严格遵守操作规程</w:t>
      </w:r>
    </w:p>
    <w:p>
      <w:pPr>
        <w:spacing w:line="400" w:lineRule="exact"/>
        <w:ind w:firstLine="480" w:firstLineChars="200"/>
        <w:rPr>
          <w:rFonts w:hint="eastAsia" w:ascii="宋体" w:hAnsi="宋体"/>
          <w:bCs/>
          <w:color w:val="auto"/>
          <w:sz w:val="24"/>
        </w:rPr>
      </w:pPr>
      <w:r>
        <w:rPr>
          <w:rFonts w:hint="eastAsia" w:ascii="宋体" w:hAnsi="宋体"/>
          <w:bCs/>
          <w:color w:val="auto"/>
          <w:sz w:val="24"/>
        </w:rPr>
        <w:t>（4）要协调好各种关系，既要尊重上级也要尊重下级，积极完成好自己的任务，主动去解决下级的实际困难</w:t>
      </w:r>
    </w:p>
    <w:p>
      <w:pPr>
        <w:spacing w:line="400" w:lineRule="exact"/>
        <w:ind w:firstLine="480" w:firstLineChars="200"/>
        <w:rPr>
          <w:rFonts w:hint="eastAsia" w:ascii="宋体" w:hAnsi="宋体"/>
          <w:bCs/>
          <w:color w:val="auto"/>
          <w:sz w:val="24"/>
        </w:rPr>
      </w:pPr>
      <w:r>
        <w:rPr>
          <w:rFonts w:hint="eastAsia" w:ascii="宋体" w:hAnsi="宋体"/>
          <w:bCs/>
          <w:color w:val="auto"/>
          <w:sz w:val="24"/>
        </w:rPr>
        <w:t xml:space="preserve">（5）具有良好的创新能力和组织管理能力 </w:t>
      </w:r>
    </w:p>
    <w:p>
      <w:pPr>
        <w:spacing w:line="400" w:lineRule="exact"/>
        <w:ind w:firstLine="480" w:firstLineChars="200"/>
        <w:rPr>
          <w:rFonts w:hint="eastAsia" w:ascii="宋体" w:hAnsi="宋体"/>
          <w:bCs/>
          <w:color w:val="auto"/>
          <w:sz w:val="24"/>
        </w:rPr>
      </w:pPr>
      <w:r>
        <w:rPr>
          <w:rFonts w:hint="eastAsia" w:ascii="宋体" w:hAnsi="宋体"/>
          <w:bCs/>
          <w:color w:val="auto"/>
          <w:sz w:val="24"/>
        </w:rPr>
        <w:t>（6）良好的协调人际关系的能力和团队合作精神</w:t>
      </w:r>
    </w:p>
    <w:p>
      <w:pPr>
        <w:spacing w:line="400" w:lineRule="exact"/>
        <w:ind w:firstLine="480" w:firstLineChars="200"/>
        <w:rPr>
          <w:rFonts w:hint="eastAsia" w:ascii="宋体" w:hAnsi="宋体"/>
          <w:bCs/>
          <w:color w:val="auto"/>
          <w:sz w:val="24"/>
        </w:rPr>
      </w:pPr>
      <w:r>
        <w:rPr>
          <w:rFonts w:hint="eastAsia" w:ascii="宋体" w:hAnsi="宋体"/>
          <w:bCs/>
          <w:color w:val="auto"/>
          <w:sz w:val="24"/>
        </w:rPr>
        <w:t>（7）具有良好的人际交流能力、团队合作精神和客户服务意识</w:t>
      </w:r>
    </w:p>
    <w:p>
      <w:pPr>
        <w:spacing w:line="400" w:lineRule="exact"/>
        <w:ind w:firstLine="480" w:firstLineChars="200"/>
        <w:rPr>
          <w:rFonts w:hint="eastAsia" w:ascii="宋体" w:hAnsi="宋体"/>
          <w:bCs/>
          <w:color w:val="auto"/>
          <w:sz w:val="24"/>
        </w:rPr>
      </w:pPr>
      <w:r>
        <w:rPr>
          <w:rFonts w:hint="eastAsia" w:ascii="宋体" w:hAnsi="宋体"/>
          <w:bCs/>
          <w:color w:val="auto"/>
          <w:sz w:val="24"/>
        </w:rPr>
        <w:t>（8）具有健康的体魄和良好的心理素质</w:t>
      </w:r>
    </w:p>
    <w:p>
      <w:pPr>
        <w:spacing w:line="400" w:lineRule="exact"/>
        <w:ind w:firstLine="480" w:firstLineChars="200"/>
        <w:rPr>
          <w:rFonts w:ascii="宋体" w:hAnsi="宋体"/>
          <w:bCs/>
          <w:color w:val="auto"/>
          <w:sz w:val="24"/>
        </w:rPr>
      </w:pPr>
      <w:r>
        <w:rPr>
          <w:rFonts w:hint="eastAsia" w:ascii="宋体" w:hAnsi="宋体"/>
          <w:bCs/>
          <w:color w:val="auto"/>
          <w:sz w:val="24"/>
        </w:rPr>
        <w:t>（9）具有正直和诚实的品质，有事业心和社会责任感，在工作中始终坚持实事求是、严谨仔细、认真负责、一丝不苟的工作作风；</w:t>
      </w:r>
    </w:p>
    <w:p>
      <w:pPr>
        <w:spacing w:line="400" w:lineRule="exact"/>
        <w:ind w:firstLine="480" w:firstLineChars="200"/>
        <w:rPr>
          <w:rFonts w:hint="eastAsia" w:ascii="宋体" w:hAnsi="宋体"/>
          <w:bCs/>
          <w:color w:val="auto"/>
          <w:sz w:val="24"/>
        </w:rPr>
      </w:pPr>
      <w:r>
        <w:rPr>
          <w:rFonts w:hint="eastAsia" w:ascii="宋体" w:hAnsi="宋体"/>
          <w:bCs/>
          <w:color w:val="auto"/>
          <w:sz w:val="24"/>
        </w:rPr>
        <w:t>（10）遵守行业法规，具有劳动安全和保护意识，具备突发事故应急处理能力；</w:t>
      </w:r>
    </w:p>
    <w:p>
      <w:pPr>
        <w:spacing w:line="400" w:lineRule="exact"/>
        <w:ind w:firstLine="480" w:firstLineChars="200"/>
        <w:rPr>
          <w:rFonts w:hint="eastAsia" w:ascii="宋体" w:hAnsi="宋体"/>
          <w:bCs/>
          <w:color w:val="auto"/>
          <w:sz w:val="24"/>
        </w:rPr>
      </w:pPr>
      <w:r>
        <w:rPr>
          <w:rFonts w:hint="eastAsia" w:ascii="宋体" w:hAnsi="宋体"/>
          <w:bCs/>
          <w:color w:val="auto"/>
          <w:sz w:val="24"/>
        </w:rPr>
        <w:t>（11）具有强烈的求知欲、自主学习能力，具备工作中分析问题解决问题的能力。</w:t>
      </w:r>
    </w:p>
    <w:p>
      <w:pPr>
        <w:spacing w:line="400" w:lineRule="exact"/>
        <w:ind w:firstLine="480" w:firstLineChars="200"/>
        <w:rPr>
          <w:rFonts w:hint="eastAsia" w:ascii="宋体" w:hAnsi="宋体"/>
          <w:bCs/>
          <w:color w:val="auto"/>
          <w:sz w:val="24"/>
        </w:rPr>
      </w:pPr>
    </w:p>
    <w:p>
      <w:pPr>
        <w:pStyle w:val="51"/>
        <w:ind w:firstLine="562"/>
        <w:rPr>
          <w:rFonts w:hint="eastAsia"/>
          <w:color w:val="auto"/>
        </w:rPr>
      </w:pPr>
      <w:r>
        <w:rPr>
          <w:color w:val="auto"/>
        </w:rPr>
        <w:t>2.</w:t>
      </w:r>
      <w:r>
        <w:rPr>
          <w:rFonts w:hint="eastAsia"/>
          <w:color w:val="auto"/>
        </w:rPr>
        <w:t>知识</w:t>
      </w:r>
    </w:p>
    <w:p>
      <w:pPr>
        <w:spacing w:line="400" w:lineRule="exact"/>
        <w:ind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1</w:t>
      </w:r>
      <w:r>
        <w:rPr>
          <w:rFonts w:hint="eastAsia" w:ascii="宋体" w:hAnsi="宋体" w:cs="宋体"/>
          <w:color w:val="auto"/>
          <w:sz w:val="24"/>
          <w:szCs w:val="24"/>
          <w:lang w:eastAsia="zh-CN"/>
        </w:rPr>
        <w:t>）</w:t>
      </w:r>
      <w:r>
        <w:rPr>
          <w:rFonts w:hint="eastAsia" w:ascii="宋体" w:hAnsi="宋体" w:cs="宋体"/>
          <w:color w:val="auto"/>
          <w:sz w:val="24"/>
          <w:szCs w:val="24"/>
        </w:rPr>
        <w:t>具有本专业所必须的化工专业英语知识；</w:t>
      </w:r>
    </w:p>
    <w:p>
      <w:pPr>
        <w:spacing w:line="400" w:lineRule="exact"/>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2</w:t>
      </w:r>
      <w:r>
        <w:rPr>
          <w:rFonts w:hint="eastAsia" w:ascii="宋体" w:hAnsi="宋体" w:cs="宋体"/>
          <w:color w:val="auto"/>
          <w:sz w:val="24"/>
          <w:szCs w:val="24"/>
          <w:lang w:eastAsia="zh-CN"/>
        </w:rPr>
        <w:t>）</w:t>
      </w:r>
      <w:r>
        <w:rPr>
          <w:rFonts w:hint="eastAsia" w:ascii="宋体" w:hAnsi="宋体" w:cs="宋体"/>
          <w:color w:val="auto"/>
          <w:sz w:val="24"/>
          <w:szCs w:val="24"/>
        </w:rPr>
        <w:t>具有化学基础知识及计算机应用基础知识；</w:t>
      </w:r>
    </w:p>
    <w:p>
      <w:pPr>
        <w:spacing w:line="400" w:lineRule="exact"/>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3</w:t>
      </w:r>
      <w:r>
        <w:rPr>
          <w:rFonts w:hint="eastAsia" w:ascii="宋体" w:hAnsi="宋体" w:cs="宋体"/>
          <w:color w:val="auto"/>
          <w:sz w:val="24"/>
          <w:szCs w:val="24"/>
          <w:lang w:eastAsia="zh-CN"/>
        </w:rPr>
        <w:t>）</w:t>
      </w:r>
      <w:r>
        <w:rPr>
          <w:rFonts w:hint="eastAsia" w:ascii="宋体" w:hAnsi="宋体" w:cs="宋体"/>
          <w:color w:val="auto"/>
          <w:sz w:val="24"/>
          <w:szCs w:val="24"/>
        </w:rPr>
        <w:t>掌握从事分析检验技术工作所必须的分析化学等基础理论知识；</w:t>
      </w:r>
    </w:p>
    <w:p>
      <w:pPr>
        <w:spacing w:line="400" w:lineRule="exact"/>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4</w:t>
      </w:r>
      <w:r>
        <w:rPr>
          <w:rFonts w:hint="eastAsia" w:ascii="宋体" w:hAnsi="宋体" w:cs="宋体"/>
          <w:color w:val="auto"/>
          <w:sz w:val="24"/>
          <w:szCs w:val="24"/>
          <w:lang w:eastAsia="zh-CN"/>
        </w:rPr>
        <w:t>）</w:t>
      </w:r>
      <w:r>
        <w:rPr>
          <w:rFonts w:hint="eastAsia" w:ascii="宋体" w:hAnsi="宋体" w:cs="宋体"/>
          <w:color w:val="auto"/>
          <w:sz w:val="24"/>
          <w:szCs w:val="24"/>
        </w:rPr>
        <w:t>掌握各种化工产品分析检验工艺原理；</w:t>
      </w:r>
    </w:p>
    <w:p>
      <w:pPr>
        <w:spacing w:line="400" w:lineRule="exact"/>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rPr>
        <w:t>5</w:t>
      </w:r>
      <w:r>
        <w:rPr>
          <w:rFonts w:hint="eastAsia" w:ascii="宋体" w:hAnsi="宋体" w:cs="宋体"/>
          <w:color w:val="auto"/>
          <w:sz w:val="24"/>
          <w:szCs w:val="24"/>
          <w:lang w:eastAsia="zh-CN"/>
        </w:rPr>
        <w:t>）</w:t>
      </w:r>
      <w:r>
        <w:rPr>
          <w:rFonts w:hint="eastAsia" w:ascii="宋体" w:hAnsi="宋体" w:cs="宋体"/>
          <w:color w:val="auto"/>
          <w:sz w:val="24"/>
          <w:szCs w:val="24"/>
        </w:rPr>
        <w:t>掌握化工间常规设备操作及操作安全知识</w:t>
      </w:r>
      <w:r>
        <w:rPr>
          <w:rFonts w:hint="eastAsia" w:ascii="宋体" w:hAnsi="宋体" w:cs="宋体"/>
          <w:color w:val="auto"/>
          <w:sz w:val="24"/>
          <w:szCs w:val="24"/>
          <w:lang w:eastAsia="zh-CN"/>
        </w:rPr>
        <w:t>。</w:t>
      </w:r>
    </w:p>
    <w:p>
      <w:pPr>
        <w:pStyle w:val="51"/>
        <w:ind w:firstLine="562"/>
        <w:rPr>
          <w:rFonts w:hint="eastAsia"/>
          <w:color w:val="auto"/>
        </w:rPr>
      </w:pPr>
      <w:r>
        <w:rPr>
          <w:color w:val="auto"/>
        </w:rPr>
        <w:t>3.</w:t>
      </w:r>
      <w:r>
        <w:rPr>
          <w:rFonts w:hint="eastAsia"/>
          <w:color w:val="auto"/>
        </w:rPr>
        <w:t>能力</w:t>
      </w:r>
    </w:p>
    <w:p>
      <w:pPr>
        <w:spacing w:line="400" w:lineRule="exact"/>
        <w:rPr>
          <w:rFonts w:hint="eastAsia"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1</w:t>
      </w:r>
      <w:r>
        <w:rPr>
          <w:rFonts w:hint="eastAsia" w:ascii="宋体" w:hAnsi="宋体" w:cs="宋体"/>
          <w:color w:val="auto"/>
          <w:sz w:val="24"/>
          <w:szCs w:val="24"/>
        </w:rPr>
        <w:t>）综合能力</w:t>
      </w:r>
    </w:p>
    <w:p>
      <w:pPr>
        <w:spacing w:line="400" w:lineRule="exact"/>
        <w:rPr>
          <w:rFonts w:hint="eastAsia" w:ascii="宋体" w:hAnsi="宋体" w:cs="宋体"/>
          <w:color w:val="auto"/>
          <w:sz w:val="24"/>
          <w:szCs w:val="24"/>
        </w:rPr>
      </w:pPr>
      <w:r>
        <w:rPr>
          <w:rFonts w:hint="eastAsia" w:ascii="宋体" w:hAnsi="宋体" w:cs="宋体"/>
          <w:color w:val="auto"/>
          <w:sz w:val="24"/>
          <w:szCs w:val="24"/>
        </w:rPr>
        <w:t>●了解与化工行业相关的法规、规章、标准和规范收费标准</w:t>
      </w:r>
    </w:p>
    <w:p>
      <w:pPr>
        <w:spacing w:line="400" w:lineRule="exact"/>
        <w:rPr>
          <w:rFonts w:hint="eastAsia" w:ascii="宋体" w:hAnsi="宋体" w:cs="宋体"/>
          <w:color w:val="auto"/>
          <w:sz w:val="24"/>
          <w:szCs w:val="24"/>
        </w:rPr>
      </w:pPr>
      <w:r>
        <w:rPr>
          <w:rFonts w:hint="eastAsia" w:ascii="宋体" w:hAnsi="宋体" w:cs="宋体"/>
          <w:color w:val="auto"/>
          <w:sz w:val="24"/>
          <w:szCs w:val="24"/>
        </w:rPr>
        <w:t>●了解化工行业发展趋势，了解相关的专业标准与法律法规</w:t>
      </w:r>
    </w:p>
    <w:p>
      <w:pPr>
        <w:spacing w:line="400" w:lineRule="exact"/>
        <w:rPr>
          <w:rFonts w:hint="eastAsia" w:ascii="宋体" w:hAnsi="宋体" w:cs="宋体"/>
          <w:color w:val="auto"/>
          <w:sz w:val="24"/>
          <w:szCs w:val="24"/>
        </w:rPr>
      </w:pPr>
      <w:r>
        <w:rPr>
          <w:rFonts w:hint="eastAsia" w:ascii="宋体" w:hAnsi="宋体" w:cs="宋体"/>
          <w:color w:val="auto"/>
          <w:sz w:val="24"/>
          <w:szCs w:val="24"/>
        </w:rPr>
        <w:t>●具有化工生产质量安全管理基本知识</w:t>
      </w:r>
    </w:p>
    <w:p>
      <w:pPr>
        <w:spacing w:line="400" w:lineRule="exact"/>
        <w:rPr>
          <w:rFonts w:hint="eastAsia" w:ascii="宋体" w:hAnsi="宋体" w:cs="宋体"/>
          <w:color w:val="auto"/>
          <w:sz w:val="24"/>
          <w:szCs w:val="24"/>
        </w:rPr>
      </w:pPr>
      <w:r>
        <w:rPr>
          <w:rFonts w:hint="eastAsia" w:ascii="宋体" w:hAnsi="宋体" w:cs="宋体"/>
          <w:color w:val="auto"/>
          <w:sz w:val="24"/>
          <w:szCs w:val="24"/>
        </w:rPr>
        <w:t>●具有资源节约、爱护环境、清洁生产、安全生产的观念及基本知识</w:t>
      </w:r>
    </w:p>
    <w:p>
      <w:pPr>
        <w:spacing w:line="400" w:lineRule="exact"/>
        <w:rPr>
          <w:rFonts w:hint="eastAsia" w:ascii="宋体" w:hAnsi="宋体" w:cs="宋体"/>
          <w:color w:val="auto"/>
          <w:sz w:val="24"/>
          <w:szCs w:val="24"/>
        </w:rPr>
      </w:pPr>
      <w:r>
        <w:rPr>
          <w:rFonts w:hint="eastAsia" w:ascii="宋体" w:hAnsi="宋体" w:cs="宋体"/>
          <w:color w:val="auto"/>
          <w:sz w:val="24"/>
          <w:szCs w:val="24"/>
        </w:rPr>
        <w:t>●了解常规化工设备的基本结构和操作方法</w:t>
      </w:r>
    </w:p>
    <w:p>
      <w:pPr>
        <w:spacing w:line="400" w:lineRule="exact"/>
        <w:rPr>
          <w:rFonts w:hint="eastAsia"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2</w:t>
      </w:r>
      <w:r>
        <w:rPr>
          <w:rFonts w:hint="eastAsia" w:ascii="宋体" w:hAnsi="宋体" w:cs="宋体"/>
          <w:color w:val="auto"/>
          <w:sz w:val="24"/>
          <w:szCs w:val="24"/>
        </w:rPr>
        <w:t>）协调能力</w:t>
      </w:r>
    </w:p>
    <w:p>
      <w:pPr>
        <w:spacing w:line="400" w:lineRule="exact"/>
        <w:rPr>
          <w:rFonts w:hint="eastAsia" w:ascii="宋体" w:hAnsi="宋体" w:cs="宋体"/>
          <w:color w:val="auto"/>
          <w:sz w:val="24"/>
          <w:szCs w:val="24"/>
        </w:rPr>
      </w:pPr>
      <w:r>
        <w:rPr>
          <w:rFonts w:hint="eastAsia" w:ascii="宋体" w:hAnsi="宋体" w:cs="宋体"/>
          <w:color w:val="auto"/>
          <w:sz w:val="24"/>
          <w:szCs w:val="24"/>
        </w:rPr>
        <w:t>●要及时了解各部门的工作状况</w:t>
      </w:r>
    </w:p>
    <w:p>
      <w:pPr>
        <w:spacing w:line="400" w:lineRule="exact"/>
        <w:rPr>
          <w:rFonts w:hint="eastAsia" w:ascii="宋体" w:hAnsi="宋体" w:cs="宋体"/>
          <w:color w:val="auto"/>
          <w:sz w:val="24"/>
          <w:szCs w:val="24"/>
        </w:rPr>
      </w:pPr>
      <w:r>
        <w:rPr>
          <w:rFonts w:hint="eastAsia" w:ascii="宋体" w:hAnsi="宋体" w:cs="宋体"/>
          <w:color w:val="auto"/>
          <w:sz w:val="24"/>
          <w:szCs w:val="24"/>
        </w:rPr>
        <w:t>●要协调好各种关系，既要尊重上级也要尊重下级，积极完成好自己的任务，主动去解决下级的实际困难</w:t>
      </w:r>
    </w:p>
    <w:p>
      <w:pPr>
        <w:spacing w:line="400" w:lineRule="exact"/>
        <w:rPr>
          <w:rFonts w:hint="eastAsia" w:ascii="宋体" w:hAnsi="宋体" w:cs="宋体"/>
          <w:color w:val="auto"/>
          <w:sz w:val="24"/>
          <w:szCs w:val="24"/>
        </w:rPr>
      </w:pPr>
      <w:r>
        <w:rPr>
          <w:rFonts w:hint="eastAsia" w:ascii="宋体" w:hAnsi="宋体" w:cs="宋体"/>
          <w:color w:val="auto"/>
          <w:sz w:val="24"/>
          <w:szCs w:val="24"/>
        </w:rPr>
        <w:t>●合理进行分工，落实各项任务，充分调动下属的工作积极性和创造性</w:t>
      </w:r>
    </w:p>
    <w:p>
      <w:pPr>
        <w:spacing w:line="400" w:lineRule="exact"/>
        <w:rPr>
          <w:rFonts w:hint="eastAsia" w:ascii="宋体" w:hAnsi="宋体" w:cs="宋体"/>
          <w:color w:val="auto"/>
          <w:sz w:val="24"/>
          <w:szCs w:val="24"/>
        </w:rPr>
      </w:pPr>
      <w:r>
        <w:rPr>
          <w:rFonts w:hint="eastAsia" w:ascii="宋体" w:hAnsi="宋体" w:cs="宋体"/>
          <w:color w:val="auto"/>
          <w:sz w:val="24"/>
          <w:szCs w:val="24"/>
        </w:rPr>
        <w:t>●准确及时地进行信息沟通和有很强的团队精神</w:t>
      </w:r>
    </w:p>
    <w:p>
      <w:pPr>
        <w:spacing w:line="400" w:lineRule="exact"/>
        <w:ind w:firstLine="480" w:firstLineChars="200"/>
        <w:rPr>
          <w:rFonts w:hint="eastAsia" w:ascii="宋体" w:hAnsi="宋体" w:eastAsia="宋体"/>
          <w:bCs/>
          <w:color w:val="auto"/>
          <w:sz w:val="24"/>
          <w:lang w:eastAsia="zh-CN"/>
        </w:rPr>
      </w:pPr>
      <w:r>
        <w:rPr>
          <w:rFonts w:hint="eastAsia" w:ascii="宋体" w:hAnsi="宋体"/>
          <w:bCs/>
          <w:color w:val="auto"/>
          <w:sz w:val="24"/>
        </w:rPr>
        <w:t>（</w:t>
      </w:r>
      <w:r>
        <w:rPr>
          <w:rFonts w:hint="eastAsia" w:ascii="宋体" w:hAnsi="宋体"/>
          <w:bCs/>
          <w:color w:val="auto"/>
          <w:sz w:val="24"/>
          <w:lang w:val="en-US" w:eastAsia="zh-CN"/>
        </w:rPr>
        <w:t>3</w:t>
      </w:r>
      <w:r>
        <w:rPr>
          <w:rFonts w:hint="eastAsia" w:ascii="宋体" w:hAnsi="宋体"/>
          <w:bCs/>
          <w:color w:val="auto"/>
          <w:sz w:val="24"/>
        </w:rPr>
        <w:t>）具有计算机基本操作能力</w:t>
      </w:r>
    </w:p>
    <w:p>
      <w:pPr>
        <w:spacing w:line="400" w:lineRule="exact"/>
        <w:rPr>
          <w:rFonts w:hint="eastAsia" w:ascii="宋体" w:hAnsi="宋体" w:eastAsia="宋体" w:cs="宋体"/>
          <w:color w:val="auto"/>
          <w:sz w:val="24"/>
          <w:szCs w:val="24"/>
          <w:lang w:eastAsia="zh-CN"/>
        </w:rPr>
      </w:pPr>
      <w:r>
        <w:rPr>
          <w:rFonts w:hint="eastAsia" w:ascii="宋体" w:hAnsi="宋体" w:cs="宋体"/>
          <w:color w:val="auto"/>
          <w:sz w:val="24"/>
          <w:szCs w:val="24"/>
        </w:rPr>
        <w:t>（</w:t>
      </w:r>
      <w:r>
        <w:rPr>
          <w:rFonts w:hint="eastAsia" w:ascii="宋体" w:hAnsi="宋体" w:cs="宋体"/>
          <w:color w:val="auto"/>
          <w:sz w:val="24"/>
          <w:szCs w:val="24"/>
          <w:lang w:val="en-US" w:eastAsia="zh-CN"/>
        </w:rPr>
        <w:t>4</w:t>
      </w:r>
      <w:r>
        <w:rPr>
          <w:rFonts w:hint="eastAsia" w:ascii="宋体" w:hAnsi="宋体" w:cs="宋体"/>
          <w:color w:val="auto"/>
          <w:sz w:val="24"/>
          <w:szCs w:val="24"/>
        </w:rPr>
        <w:t>）必备专业能力</w:t>
      </w:r>
    </w:p>
    <w:p>
      <w:pPr>
        <w:spacing w:line="400" w:lineRule="exact"/>
        <w:rPr>
          <w:rFonts w:hint="eastAsia" w:ascii="宋体" w:hAnsi="宋体" w:cs="宋体"/>
          <w:color w:val="auto"/>
          <w:sz w:val="24"/>
          <w:szCs w:val="24"/>
        </w:rPr>
      </w:pPr>
      <w:r>
        <w:rPr>
          <w:rFonts w:hint="eastAsia" w:ascii="宋体" w:hAnsi="宋体" w:cs="宋体"/>
          <w:color w:val="auto"/>
          <w:sz w:val="24"/>
          <w:szCs w:val="24"/>
        </w:rPr>
        <w:t>●能根据国家标准或行业标准选择合适的产品分析方法；具备较强的执行各种分析方法的能力，能严格贯彻执行操作规程完成产品质量检验工作；</w:t>
      </w:r>
    </w:p>
    <w:p>
      <w:pPr>
        <w:spacing w:line="400" w:lineRule="exact"/>
        <w:rPr>
          <w:rFonts w:hint="eastAsia" w:ascii="宋体" w:hAnsi="宋体" w:cs="宋体"/>
          <w:color w:val="auto"/>
          <w:sz w:val="24"/>
          <w:szCs w:val="24"/>
        </w:rPr>
      </w:pPr>
      <w:r>
        <w:rPr>
          <w:rFonts w:hint="eastAsia" w:ascii="宋体" w:hAnsi="宋体" w:cs="宋体"/>
          <w:color w:val="auto"/>
          <w:sz w:val="24"/>
          <w:szCs w:val="24"/>
        </w:rPr>
        <w:t>●能正确选择和熟练使用常用的仪器工具进行试样的采集、制备、预处理、日常保管等工作；</w:t>
      </w:r>
    </w:p>
    <w:p>
      <w:pPr>
        <w:spacing w:line="400" w:lineRule="exact"/>
        <w:rPr>
          <w:rFonts w:hint="eastAsia" w:ascii="宋体" w:hAnsi="宋体" w:cs="宋体"/>
          <w:color w:val="auto"/>
          <w:sz w:val="24"/>
          <w:szCs w:val="24"/>
        </w:rPr>
      </w:pPr>
      <w:r>
        <w:rPr>
          <w:rFonts w:hint="eastAsia" w:ascii="宋体" w:hAnsi="宋体" w:cs="宋体"/>
          <w:color w:val="auto"/>
          <w:sz w:val="24"/>
          <w:szCs w:val="24"/>
        </w:rPr>
        <w:t>●能进行简单仪器的检（校）验、试剂准备、溶液配制等分析检测准备工作；</w:t>
      </w:r>
    </w:p>
    <w:p>
      <w:pPr>
        <w:spacing w:line="400" w:lineRule="exact"/>
        <w:rPr>
          <w:rFonts w:hint="eastAsia" w:ascii="宋体" w:hAnsi="宋体" w:cs="宋体"/>
          <w:color w:val="auto"/>
          <w:sz w:val="24"/>
          <w:szCs w:val="24"/>
        </w:rPr>
      </w:pPr>
      <w:r>
        <w:rPr>
          <w:rFonts w:hint="eastAsia" w:ascii="宋体" w:hAnsi="宋体" w:cs="宋体"/>
          <w:color w:val="auto"/>
          <w:sz w:val="24"/>
          <w:szCs w:val="24"/>
        </w:rPr>
        <w:t>●能够熟练进行容量分析，使用各种常用用仪器对产品进行分析、检测；</w:t>
      </w:r>
    </w:p>
    <w:p>
      <w:pPr>
        <w:spacing w:line="400" w:lineRule="exact"/>
        <w:rPr>
          <w:rFonts w:hint="eastAsia" w:ascii="宋体" w:hAnsi="宋体" w:cs="宋体"/>
          <w:color w:val="auto"/>
          <w:sz w:val="24"/>
          <w:szCs w:val="24"/>
        </w:rPr>
      </w:pPr>
      <w:r>
        <w:rPr>
          <w:rFonts w:hint="eastAsia" w:ascii="宋体" w:hAnsi="宋体" w:cs="宋体"/>
          <w:color w:val="auto"/>
          <w:sz w:val="24"/>
          <w:szCs w:val="24"/>
        </w:rPr>
        <w:t>●能完成产品质量指标的检测，能正确、规范的报告检测结果；</w:t>
      </w:r>
    </w:p>
    <w:p>
      <w:pPr>
        <w:spacing w:line="400" w:lineRule="exact"/>
        <w:rPr>
          <w:rFonts w:hint="eastAsia" w:ascii="宋体" w:hAnsi="宋体" w:cs="宋体"/>
          <w:color w:val="auto"/>
          <w:sz w:val="24"/>
          <w:szCs w:val="24"/>
        </w:rPr>
      </w:pPr>
      <w:r>
        <w:rPr>
          <w:rFonts w:hint="eastAsia" w:ascii="宋体" w:hAnsi="宋体" w:cs="宋体"/>
          <w:color w:val="auto"/>
          <w:sz w:val="24"/>
          <w:szCs w:val="24"/>
        </w:rPr>
        <w:t>●具备初步的检测实验室的安全、常用设备、试剂、试样、资料的管理能力，能从事基层检测实验室的日常管理工作；</w:t>
      </w:r>
    </w:p>
    <w:p>
      <w:pPr>
        <w:spacing w:line="400" w:lineRule="exact"/>
        <w:rPr>
          <w:rFonts w:hint="eastAsia" w:ascii="宋体" w:hAnsi="宋体" w:cs="宋体"/>
          <w:color w:val="auto"/>
          <w:sz w:val="24"/>
          <w:szCs w:val="24"/>
        </w:rPr>
      </w:pPr>
      <w:r>
        <w:rPr>
          <w:rFonts w:hint="eastAsia" w:ascii="宋体" w:hAnsi="宋体" w:cs="宋体"/>
          <w:color w:val="auto"/>
          <w:sz w:val="24"/>
          <w:szCs w:val="24"/>
        </w:rPr>
        <w:t>●能基于岗位要求和特点学习新知识和新技能，发现并报告影响产品质量的潜在风险。</w:t>
      </w:r>
    </w:p>
    <w:p>
      <w:pPr>
        <w:pStyle w:val="72"/>
        <w:ind w:left="0" w:leftChars="0" w:firstLine="0" w:firstLineChars="0"/>
      </w:pPr>
      <w:bookmarkStart w:id="7" w:name="_Toc17537284"/>
      <w:r>
        <w:t>六、课程设置及要求</w:t>
      </w:r>
      <w:bookmarkEnd w:id="7"/>
    </w:p>
    <w:p>
      <w:pPr>
        <w:pStyle w:val="47"/>
        <w:ind w:firstLine="562"/>
      </w:pPr>
      <w:bookmarkStart w:id="8" w:name="_Toc17537285"/>
      <w:r>
        <w:t>（一）公共基础课程</w:t>
      </w:r>
      <w:bookmarkEnd w:id="8"/>
    </w:p>
    <w:p>
      <w:pPr>
        <w:rPr>
          <w:rFonts w:hint="eastAsia" w:ascii="宋体" w:hAnsi="宋体" w:eastAsia="宋体" w:cs="宋体"/>
          <w:sz w:val="28"/>
          <w:szCs w:val="28"/>
        </w:rPr>
      </w:pPr>
      <w:r>
        <w:rPr>
          <w:rFonts w:hint="eastAsia" w:ascii="宋体" w:hAnsi="宋体" w:eastAsia="宋体" w:cs="宋体"/>
          <w:sz w:val="28"/>
          <w:szCs w:val="28"/>
        </w:rPr>
        <w:t>公共基础课程根据《教育部关于职业院校专业人才培养方案制订与实施工作意见》教职成【2019】13号文件精神开设，将思想政治、语文、历史、数学、外语（英语等）、信息技术、体育与健康、艺术列入公共基础必修课程，各门课程的课程目标、主要内容和教学要求暂按教育部中等职业学校公共基础课教学大纲的规定与要求执行，待教育部公布新版公共基础课课程标准后调整执行。</w:t>
      </w:r>
    </w:p>
    <w:p>
      <w:pPr>
        <w:pStyle w:val="47"/>
        <w:ind w:firstLine="562"/>
      </w:pPr>
      <w:bookmarkStart w:id="9" w:name="_Toc17537286"/>
      <w:r>
        <w:t>（二）专业（技能）课程</w:t>
      </w:r>
      <w:bookmarkEnd w:id="9"/>
    </w:p>
    <w:p>
      <w:pPr>
        <w:overflowPunct w:val="0"/>
        <w:ind w:firstLine="560"/>
        <w:rPr>
          <w:rFonts w:hint="eastAsia" w:ascii="宋体" w:hAnsi="宋体" w:cs="宋体"/>
        </w:rPr>
      </w:pPr>
      <w:r>
        <w:rPr>
          <w:rFonts w:hint="eastAsia" w:ascii="宋体" w:hAnsi="宋体" w:cs="宋体"/>
        </w:rPr>
        <w:t>本专业（技能）核心课程目标、主要内容和教学要求如下：</w:t>
      </w:r>
    </w:p>
    <w:tbl>
      <w:tblPr>
        <w:tblStyle w:val="23"/>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581"/>
        <w:gridCol w:w="584"/>
        <w:gridCol w:w="618"/>
        <w:gridCol w:w="2642"/>
        <w:gridCol w:w="2647"/>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restart"/>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581" w:type="dxa"/>
            <w:vMerge w:val="restart"/>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课程名称</w:t>
            </w:r>
          </w:p>
        </w:tc>
        <w:tc>
          <w:tcPr>
            <w:tcW w:w="1202" w:type="dxa"/>
            <w:gridSpan w:val="2"/>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计划学时</w:t>
            </w:r>
          </w:p>
        </w:tc>
        <w:tc>
          <w:tcPr>
            <w:tcW w:w="2642" w:type="dxa"/>
            <w:vMerge w:val="restart"/>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教学目标</w:t>
            </w:r>
          </w:p>
        </w:tc>
        <w:tc>
          <w:tcPr>
            <w:tcW w:w="2647" w:type="dxa"/>
            <w:vMerge w:val="restart"/>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教学内容</w:t>
            </w:r>
          </w:p>
        </w:tc>
        <w:tc>
          <w:tcPr>
            <w:tcW w:w="1338" w:type="dxa"/>
            <w:vMerge w:val="restart"/>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教学模式</w:t>
            </w:r>
          </w:p>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continue"/>
            <w:noWrap w:val="0"/>
            <w:vAlign w:val="top"/>
          </w:tcPr>
          <w:p>
            <w:pPr>
              <w:adjustRightInd/>
              <w:snapToGrid/>
              <w:spacing w:before="156" w:beforeLines="50" w:after="62" w:afterLines="20" w:line="240" w:lineRule="auto"/>
              <w:ind w:firstLine="0" w:firstLineChars="0"/>
              <w:rPr>
                <w:rFonts w:hint="eastAsia" w:ascii="宋体" w:hAnsi="宋体" w:eastAsia="宋体" w:cs="宋体"/>
                <w:b/>
                <w:sz w:val="21"/>
                <w:szCs w:val="21"/>
              </w:rPr>
            </w:pPr>
          </w:p>
        </w:tc>
        <w:tc>
          <w:tcPr>
            <w:tcW w:w="1581" w:type="dxa"/>
            <w:vMerge w:val="continue"/>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p>
        </w:tc>
        <w:tc>
          <w:tcPr>
            <w:tcW w:w="584" w:type="dxa"/>
            <w:noWrap w:val="0"/>
            <w:vAlign w:val="top"/>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理论</w:t>
            </w:r>
          </w:p>
        </w:tc>
        <w:tc>
          <w:tcPr>
            <w:tcW w:w="618" w:type="dxa"/>
            <w:noWrap w:val="0"/>
            <w:vAlign w:val="top"/>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实践</w:t>
            </w:r>
          </w:p>
        </w:tc>
        <w:tc>
          <w:tcPr>
            <w:tcW w:w="2642" w:type="dxa"/>
            <w:vMerge w:val="continue"/>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p>
        </w:tc>
        <w:tc>
          <w:tcPr>
            <w:tcW w:w="2647" w:type="dxa"/>
            <w:vMerge w:val="continue"/>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p>
        </w:tc>
        <w:tc>
          <w:tcPr>
            <w:tcW w:w="1338" w:type="dxa"/>
            <w:vMerge w:val="continue"/>
            <w:noWrap w:val="0"/>
            <w:vAlign w:val="center"/>
          </w:tcPr>
          <w:p>
            <w:pPr>
              <w:adjustRightInd/>
              <w:snapToGrid/>
              <w:spacing w:before="156" w:beforeLines="50" w:after="62" w:afterLines="20" w:line="240" w:lineRule="auto"/>
              <w:ind w:firstLine="0" w:firstLineChars="0"/>
              <w:jc w:val="center"/>
              <w:rPr>
                <w:rFonts w:hint="eastAsia" w:ascii="宋体" w:hAnsi="宋体" w:eastAsia="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5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无机化学</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180</w:t>
            </w:r>
          </w:p>
        </w:tc>
        <w:tc>
          <w:tcPr>
            <w:tcW w:w="6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642" w:type="dxa"/>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宋体" w:hAnsi="宋体" w:eastAsia="宋体"/>
                <w:sz w:val="24"/>
                <w:lang w:val="en-US" w:eastAsia="zh-CN"/>
              </w:rPr>
            </w:pPr>
            <w:r>
              <w:rPr>
                <w:rFonts w:hint="eastAsia"/>
                <w:sz w:val="21"/>
                <w:szCs w:val="21"/>
                <w:lang w:eastAsia="zh-CN"/>
              </w:rPr>
              <w:t>掌握</w:t>
            </w:r>
            <w:r>
              <w:rPr>
                <w:rFonts w:hint="eastAsia"/>
                <w:sz w:val="21"/>
                <w:szCs w:val="21"/>
              </w:rPr>
              <w:t>化学计算，</w:t>
            </w:r>
            <w:r>
              <w:rPr>
                <w:sz w:val="21"/>
                <w:szCs w:val="21"/>
              </w:rPr>
              <w:t>钠、铝、铁、铜等金属及其重要化合物的主要性质，知道酸、碱、盐在溶液中能发生电离，了解氧化还原反应的本质是电子的转移</w:t>
            </w:r>
            <w:r>
              <w:rPr>
                <w:rFonts w:hint="eastAsia"/>
                <w:sz w:val="21"/>
                <w:szCs w:val="21"/>
                <w:lang w:eastAsia="zh-CN"/>
              </w:rPr>
              <w:t>，</w:t>
            </w:r>
            <w:r>
              <w:rPr>
                <w:sz w:val="21"/>
                <w:szCs w:val="21"/>
              </w:rPr>
              <w:t>了解氯、氮、硫、硅等非金属及其重要化合物的主要性质，</w:t>
            </w:r>
            <w:r>
              <w:rPr>
                <w:rFonts w:hint="eastAsia" w:ascii="宋体" w:hAnsi="宋体" w:eastAsia="宋体"/>
                <w:sz w:val="21"/>
                <w:szCs w:val="21"/>
              </w:rPr>
              <w:t>知道</w:t>
            </w:r>
            <w:r>
              <w:rPr>
                <w:rFonts w:ascii="宋体" w:hAnsi="宋体" w:eastAsia="宋体"/>
                <w:sz w:val="21"/>
                <w:szCs w:val="21"/>
              </w:rPr>
              <w:t>元素</w:t>
            </w:r>
            <w:r>
              <w:rPr>
                <w:rFonts w:hint="eastAsia" w:ascii="宋体" w:hAnsi="宋体" w:eastAsia="宋体"/>
                <w:sz w:val="21"/>
                <w:szCs w:val="21"/>
              </w:rPr>
              <w:t>、核素的</w:t>
            </w:r>
            <w:r>
              <w:rPr>
                <w:rFonts w:ascii="宋体" w:hAnsi="宋体" w:eastAsia="宋体"/>
                <w:sz w:val="21"/>
                <w:szCs w:val="21"/>
              </w:rPr>
              <w:t>涵义</w:t>
            </w:r>
            <w:r>
              <w:rPr>
                <w:rFonts w:hint="eastAsia" w:ascii="宋体" w:hAnsi="宋体" w:eastAsia="宋体"/>
                <w:sz w:val="21"/>
                <w:szCs w:val="21"/>
                <w:lang w:eastAsia="zh-CN"/>
              </w:rPr>
              <w:t>，</w:t>
            </w:r>
            <w:r>
              <w:rPr>
                <w:rFonts w:ascii="宋体" w:hAnsi="宋体" w:eastAsia="宋体"/>
                <w:sz w:val="21"/>
                <w:szCs w:val="21"/>
              </w:rPr>
              <w:t>原子核外电子的排布规律。知道金属、非金属在元素周期表中的位置及其性质的递变规律。认识化学键的涵义，知道离子</w:t>
            </w:r>
            <w:r>
              <w:rPr>
                <w:rFonts w:hint="eastAsia" w:ascii="宋体" w:hAnsi="宋体" w:eastAsia="宋体"/>
                <w:sz w:val="21"/>
                <w:szCs w:val="21"/>
              </w:rPr>
              <w:t>键和</w:t>
            </w:r>
            <w:r>
              <w:rPr>
                <w:rFonts w:ascii="宋体" w:hAnsi="宋体" w:eastAsia="宋体"/>
                <w:sz w:val="21"/>
                <w:szCs w:val="21"/>
              </w:rPr>
              <w:t>共价键</w:t>
            </w:r>
            <w:r>
              <w:rPr>
                <w:rFonts w:hint="eastAsia" w:ascii="宋体" w:hAnsi="宋体" w:eastAsia="宋体"/>
                <w:sz w:val="21"/>
                <w:szCs w:val="21"/>
              </w:rPr>
              <w:t>的形成</w:t>
            </w:r>
            <w:r>
              <w:rPr>
                <w:rFonts w:ascii="宋体" w:hAnsi="宋体" w:eastAsia="宋体"/>
                <w:sz w:val="21"/>
                <w:szCs w:val="21"/>
              </w:rPr>
              <w:t>。</w:t>
            </w:r>
            <w:r>
              <w:rPr>
                <w:rFonts w:hint="eastAsia" w:ascii="宋体" w:hAnsi="宋体" w:eastAsia="宋体"/>
                <w:sz w:val="21"/>
                <w:szCs w:val="21"/>
              </w:rPr>
              <w:t>了解有机化合物中碳的成键</w:t>
            </w:r>
            <w:r>
              <w:rPr>
                <w:rFonts w:ascii="宋体" w:hAnsi="宋体" w:eastAsia="宋体"/>
                <w:sz w:val="21"/>
                <w:szCs w:val="21"/>
              </w:rPr>
              <w:t>特征</w:t>
            </w:r>
            <w:r>
              <w:rPr>
                <w:rFonts w:hint="eastAsia" w:ascii="宋体" w:hAnsi="宋体" w:eastAsia="宋体"/>
                <w:sz w:val="21"/>
                <w:szCs w:val="21"/>
                <w:lang w:eastAsia="zh-CN"/>
              </w:rPr>
              <w:t>、</w:t>
            </w:r>
            <w:r>
              <w:rPr>
                <w:rFonts w:ascii="宋体" w:hAnsi="宋体" w:eastAsia="宋体"/>
                <w:sz w:val="21"/>
                <w:szCs w:val="21"/>
              </w:rPr>
              <w:t>化学反应有一定的限度，化学反应速率</w:t>
            </w:r>
            <w:r>
              <w:rPr>
                <w:rFonts w:hint="eastAsia" w:ascii="宋体" w:hAnsi="宋体" w:eastAsia="宋体"/>
                <w:sz w:val="21"/>
                <w:szCs w:val="21"/>
                <w:lang w:eastAsia="zh-CN"/>
              </w:rPr>
              <w:t>、</w:t>
            </w:r>
            <w:r>
              <w:rPr>
                <w:rFonts w:ascii="宋体" w:hAnsi="宋体" w:eastAsia="宋体"/>
                <w:sz w:val="21"/>
                <w:szCs w:val="21"/>
              </w:rPr>
              <w:t>化学平衡建立的过程</w:t>
            </w:r>
            <w:r>
              <w:rPr>
                <w:rFonts w:hint="eastAsia" w:ascii="宋体" w:hAnsi="宋体" w:eastAsia="宋体"/>
                <w:sz w:val="21"/>
                <w:szCs w:val="21"/>
                <w:lang w:eastAsia="zh-CN"/>
              </w:rPr>
              <w:t>等。</w:t>
            </w:r>
          </w:p>
        </w:tc>
        <w:tc>
          <w:tcPr>
            <w:tcW w:w="2647" w:type="dxa"/>
            <w:noWrap w:val="0"/>
            <w:vAlign w:val="center"/>
          </w:tcPr>
          <w:p>
            <w:pPr>
              <w:keepNext w:val="0"/>
              <w:keepLines w:val="0"/>
              <w:pageBreakBefore w:val="0"/>
              <w:kinsoku/>
              <w:wordWrap/>
              <w:overflowPunct/>
              <w:topLinePunct w:val="0"/>
              <w:autoSpaceDE/>
              <w:autoSpaceDN/>
              <w:bidi w:val="0"/>
              <w:adjustRightInd/>
              <w:snapToGrid/>
              <w:spacing w:line="300" w:lineRule="auto"/>
              <w:ind w:firstLine="420" w:firstLineChars="200"/>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该课程介绍了</w:t>
            </w:r>
            <w:r>
              <w:rPr>
                <w:rFonts w:hint="eastAsia" w:ascii="宋体" w:hAnsi="宋体" w:eastAsia="宋体" w:cs="宋体"/>
                <w:color w:val="000000" w:themeColor="text1"/>
                <w:kern w:val="2"/>
                <w:sz w:val="21"/>
                <w:szCs w:val="21"/>
                <w:lang w:val="en-US" w:eastAsia="zh-CN" w:bidi="ar-SA"/>
                <w14:textFill>
                  <w14:solidFill>
                    <w14:schemeClr w14:val="tx1"/>
                  </w14:solidFill>
                </w14:textFill>
              </w:rPr>
              <w:t>化学基本量及其计算、原子结构、元素周期律、化学键、分子结构、化学反应速率、化学平衡、电解质溶液、离子平衡、氧化还原反应、常见金属元素及其化合物、常见非金属元素及其化合物等相关知识。</w:t>
            </w:r>
          </w:p>
        </w:tc>
        <w:tc>
          <w:tcPr>
            <w:tcW w:w="1338" w:type="dxa"/>
            <w:noWrap w:val="0"/>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00" w:lineRule="auto"/>
              <w:ind w:left="0" w:leftChars="0" w:right="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1"/>
                <w:szCs w:val="21"/>
                <w:lang w:eastAsia="zh-CN"/>
                <w14:textFill>
                  <w14:solidFill>
                    <w14:schemeClr w14:val="tx1"/>
                  </w14:solidFill>
                </w14:textFill>
              </w:rPr>
              <w:t>讲授法、讨论法、直观演示法、练习法、读书指导法、自主学习法等教学方法综合运动。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有机化学</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162</w:t>
            </w:r>
          </w:p>
        </w:tc>
        <w:tc>
          <w:tcPr>
            <w:tcW w:w="6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2642" w:type="dxa"/>
            <w:noWrap w:val="0"/>
            <w:vAlign w:val="center"/>
          </w:tcPr>
          <w:p>
            <w:pPr>
              <w:pStyle w:val="20"/>
              <w:keepNext w:val="0"/>
              <w:keepLines w:val="0"/>
              <w:pageBreakBefore w:val="0"/>
              <w:widowControl w:val="0"/>
              <w:tabs>
                <w:tab w:val="left" w:pos="289"/>
                <w:tab w:val="clear" w:pos="916"/>
                <w:tab w:val="clear" w:pos="5496"/>
              </w:tabs>
              <w:kinsoku/>
              <w:wordWrap/>
              <w:overflowPunct/>
              <w:topLinePunct w:val="0"/>
              <w:autoSpaceDE/>
              <w:autoSpaceDN/>
              <w:bidi w:val="0"/>
              <w:spacing w:line="300" w:lineRule="auto"/>
              <w:jc w:val="both"/>
              <w:textAlignment w:val="auto"/>
              <w:rPr>
                <w:rFonts w:hint="eastAsia" w:ascii="宋体" w:hAnsi="宋体" w:eastAsia="宋体"/>
                <w:sz w:val="24"/>
                <w:lang w:val="en-US" w:eastAsia="zh-CN"/>
              </w:rPr>
            </w:pPr>
            <w:r>
              <w:rPr>
                <w:sz w:val="21"/>
                <w:szCs w:val="21"/>
              </w:rPr>
              <w:t>认识化石燃料综合利用的意义，了解甲烷、乙烯、苯等的主要性质，认识乙烯、氯乙烯、苯的衍生物等在化工生产中的重要作用</w:t>
            </w:r>
            <w:r>
              <w:rPr>
                <w:rFonts w:hint="eastAsia"/>
                <w:sz w:val="21"/>
                <w:szCs w:val="21"/>
                <w:lang w:eastAsia="zh-CN"/>
              </w:rPr>
              <w:t>。</w:t>
            </w:r>
            <w:r>
              <w:rPr>
                <w:sz w:val="21"/>
                <w:szCs w:val="21"/>
              </w:rPr>
              <w:t>知道乙醇、乙酸、糖类、油脂、蛋白质的组成和主要性质，认识其在日常生活中的应用。</w:t>
            </w:r>
            <w:r>
              <w:rPr>
                <w:rFonts w:ascii="宋体" w:hAnsi="宋体" w:eastAsia="宋体"/>
                <w:sz w:val="21"/>
                <w:szCs w:val="21"/>
              </w:rPr>
              <w:t>能根据其确定有机化合物的分子式。知道常见有机化合物的结构，了解有机物分子中的官能团，能正确地表示它们的结构。了解有机化合物存在异构现象，能判断简单有机化合物的同分异构体。能根据有机化合物命名规则命名简单的有机化合物。以烷、烯、炔和芳香烃的代表物为例，比较它们在组成、结构、性质上的差异。认识卤代烃、醇、酚、醛、羧酸、酯典型代表物的组成和结构特点，知道它们的转化关系。根据有机化合物组成和结构的特点，认识加成、取代和消去反应。结合生产生活实际了解某些烃、烃的衍生物对环境和健康可能产生的影响，关注有机化合物的安全使用问题。</w:t>
            </w:r>
          </w:p>
        </w:tc>
        <w:tc>
          <w:tcPr>
            <w:tcW w:w="264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该课程介绍了</w:t>
            </w:r>
            <w:r>
              <w:rPr>
                <w:rFonts w:hint="eastAsia" w:ascii="宋体" w:hAnsi="宋体" w:eastAsia="宋体" w:cs="宋体"/>
                <w:bCs/>
                <w:sz w:val="21"/>
                <w:szCs w:val="21"/>
                <w:lang w:eastAsia="zh-CN"/>
              </w:rPr>
              <w:t>烷、烯、炔、芳香烃、卤代烃、醇、酚、醚、醛、酮、羧酸、酯、油脂、糖类、蛋白质、高分子化合物等命名、合成及应用等相关知识。</w:t>
            </w:r>
          </w:p>
        </w:tc>
        <w:tc>
          <w:tcPr>
            <w:tcW w:w="1338" w:type="dxa"/>
            <w:noWrap w:val="0"/>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00" w:lineRule="auto"/>
              <w:ind w:left="0" w:leftChars="0" w:right="0" w:firstLine="0" w:firstLineChars="0"/>
              <w:textAlignment w:val="auto"/>
              <w:rPr>
                <w:rFonts w:hint="eastAsia" w:ascii="宋体" w:hAnsi="宋体" w:eastAsia="宋体" w:cs="宋体"/>
                <w:sz w:val="21"/>
                <w:szCs w:val="21"/>
              </w:rPr>
            </w:pPr>
            <w:r>
              <w:rPr>
                <w:rFonts w:hint="eastAsia" w:ascii="宋体" w:hAnsi="宋体" w:eastAsia="宋体" w:cs="宋体"/>
                <w:b w:val="0"/>
                <w:bCs w:val="0"/>
                <w:i w:val="0"/>
                <w:iCs w:val="0"/>
                <w:caps w:val="0"/>
                <w:color w:val="333333"/>
                <w:spacing w:val="0"/>
                <w:sz w:val="21"/>
                <w:szCs w:val="21"/>
                <w:lang w:eastAsia="zh-CN"/>
              </w:rPr>
              <w:t>讲授法、讨论法、直观演示法、练习法、读书指导法、自主学习法等教学方法综合运动。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5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分析化学</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144</w:t>
            </w:r>
          </w:p>
        </w:tc>
        <w:tc>
          <w:tcPr>
            <w:tcW w:w="6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116</w:t>
            </w:r>
          </w:p>
        </w:tc>
        <w:tc>
          <w:tcPr>
            <w:tcW w:w="2642" w:type="dxa"/>
            <w:noWrap w:val="0"/>
            <w:vAlign w:val="center"/>
          </w:tcPr>
          <w:p>
            <w:pPr>
              <w:keepNext w:val="0"/>
              <w:keepLines w:val="0"/>
              <w:pageBreakBefore w:val="0"/>
              <w:kinsoku/>
              <w:wordWrap/>
              <w:overflowPunct/>
              <w:topLinePunct w:val="0"/>
              <w:autoSpaceDE/>
              <w:autoSpaceDN/>
              <w:bidi w:val="0"/>
              <w:spacing w:line="300" w:lineRule="auto"/>
              <w:ind w:firstLine="420" w:firstLineChars="20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通过该课程的学习，使学生掌握酸</w:t>
            </w:r>
            <w:r>
              <w:rPr>
                <w:rFonts w:hint="eastAsia" w:ascii="宋体" w:hAnsi="宋体" w:eastAsia="宋体" w:cs="宋体"/>
                <w:sz w:val="21"/>
                <w:szCs w:val="21"/>
              </w:rPr>
              <w:t>碱滴定、沉淀滴定、络合滴定、氧化还原滴定分析的基本概念、基本原理，安全操作规范，及相关指标的测定、计算与结果分析。熟悉并掌握实验室安全操作规范。</w:t>
            </w:r>
          </w:p>
        </w:tc>
        <w:tc>
          <w:tcPr>
            <w:tcW w:w="2647" w:type="dxa"/>
            <w:noWrap w:val="0"/>
            <w:vAlign w:val="center"/>
          </w:tcPr>
          <w:p>
            <w:pPr>
              <w:keepNext w:val="0"/>
              <w:keepLines w:val="0"/>
              <w:pageBreakBefore w:val="0"/>
              <w:kinsoku/>
              <w:wordWrap/>
              <w:overflowPunct/>
              <w:topLinePunct w:val="0"/>
              <w:autoSpaceDE/>
              <w:autoSpaceDN/>
              <w:bidi w:val="0"/>
              <w:spacing w:line="300" w:lineRule="auto"/>
              <w:ind w:firstLine="420" w:firstLineChars="20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该课程介绍了酸</w:t>
            </w:r>
            <w:r>
              <w:rPr>
                <w:rFonts w:hint="eastAsia" w:ascii="宋体" w:hAnsi="宋体" w:eastAsia="宋体" w:cs="宋体"/>
                <w:sz w:val="21"/>
                <w:szCs w:val="21"/>
              </w:rPr>
              <w:t>碱滴定、沉淀滴定、络合滴定、氧化还原滴定分析的基本概念、基本原理，安全操作规范，及其在水质分析中的应用。介绍了光谱分析的原理，以及分光光度计的使用方法、操作步骤；以及一些其它仪器分析方法</w:t>
            </w:r>
            <w:r>
              <w:rPr>
                <w:rFonts w:hint="eastAsia" w:ascii="宋体" w:hAnsi="宋体" w:eastAsia="宋体" w:cs="宋体"/>
                <w:bCs/>
                <w:sz w:val="21"/>
                <w:szCs w:val="21"/>
              </w:rPr>
              <w:t>。</w:t>
            </w:r>
            <w:r>
              <w:rPr>
                <w:rFonts w:hint="eastAsia" w:ascii="宋体" w:hAnsi="宋体" w:eastAsia="宋体" w:cs="宋体"/>
                <w:sz w:val="21"/>
                <w:szCs w:val="21"/>
              </w:rPr>
              <w:t>熟悉并掌握实验室安全操作规范。</w:t>
            </w:r>
          </w:p>
        </w:tc>
        <w:tc>
          <w:tcPr>
            <w:tcW w:w="1338" w:type="dxa"/>
            <w:noWrap w:val="0"/>
            <w:vAlign w:val="center"/>
          </w:tcPr>
          <w:p>
            <w:pPr>
              <w:keepNext w:val="0"/>
              <w:keepLines w:val="0"/>
              <w:pageBreakBefore w:val="0"/>
              <w:widowControl/>
              <w:suppressLineNumbers w:val="0"/>
              <w:shd w:val="clear" w:fill="FFFFFF"/>
              <w:kinsoku/>
              <w:wordWrap/>
              <w:overflowPunct/>
              <w:topLinePunct w:val="0"/>
              <w:autoSpaceDE/>
              <w:autoSpaceDN/>
              <w:bidi w:val="0"/>
              <w:spacing w:after="225" w:afterAutospacing="0" w:line="300" w:lineRule="auto"/>
              <w:ind w:left="0" w:leftChars="0" w:firstLine="0" w:firstLineChars="0"/>
              <w:jc w:val="left"/>
              <w:textAlignment w:val="auto"/>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kern w:val="0"/>
                <w:sz w:val="21"/>
                <w:szCs w:val="21"/>
                <w:shd w:val="clear" w:fill="FFFFFF"/>
                <w:lang w:val="en-US" w:eastAsia="zh-CN" w:bidi="ar"/>
              </w:rPr>
              <w:t>项目教学法：以实际应用为目的，通过师生共同完成教学项目而使学生获知识、能力的教学方法。实施以小组为学习单位，咨询、计划、决策、实施、检查、评估。</w:t>
            </w:r>
          </w:p>
          <w:p>
            <w:pPr>
              <w:keepNext w:val="0"/>
              <w:keepLines w:val="0"/>
              <w:pageBreakBefore w:val="0"/>
              <w:kinsoku/>
              <w:wordWrap/>
              <w:overflowPunct/>
              <w:topLinePunct w:val="0"/>
              <w:autoSpaceDE/>
              <w:autoSpaceDN/>
              <w:bidi w:val="0"/>
              <w:spacing w:line="300" w:lineRule="auto"/>
              <w:ind w:firstLine="420" w:firstLineChars="20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5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仪器分析</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72</w:t>
            </w:r>
          </w:p>
        </w:tc>
        <w:tc>
          <w:tcPr>
            <w:tcW w:w="6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2642" w:type="dxa"/>
            <w:noWrap w:val="0"/>
            <w:vAlign w:val="center"/>
          </w:tcPr>
          <w:p>
            <w:pPr>
              <w:keepNext w:val="0"/>
              <w:keepLines w:val="0"/>
              <w:pageBreakBefore w:val="0"/>
              <w:kinsoku/>
              <w:wordWrap/>
              <w:overflowPunct/>
              <w:topLinePunct w:val="0"/>
              <w:autoSpaceDE/>
              <w:autoSpaceDN/>
              <w:bidi w:val="0"/>
              <w:spacing w:line="300" w:lineRule="auto"/>
              <w:ind w:firstLine="420" w:firstLineChars="20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本课程的学习，使学生掌握现代常用仪器的基本原理、结构特点、分析方法及相关实验技术，能够选择适当的分析方法、获取可靠的实验数据并能正确处理数据、合理解释实验现象及结果，同时对各种仪器分析方法的发展趋势有所了解，以培养学生应用各种现代仪器分析方法解决相应实际问题的基本能力。</w:t>
            </w:r>
          </w:p>
        </w:tc>
        <w:tc>
          <w:tcPr>
            <w:tcW w:w="2647" w:type="dxa"/>
            <w:noWrap w:val="0"/>
            <w:vAlign w:val="center"/>
          </w:tcPr>
          <w:p>
            <w:pPr>
              <w:keepNext w:val="0"/>
              <w:keepLines w:val="0"/>
              <w:pageBreakBefore w:val="0"/>
              <w:kinsoku/>
              <w:wordWrap/>
              <w:overflowPunct/>
              <w:topLinePunct w:val="0"/>
              <w:autoSpaceDE/>
              <w:autoSpaceDN/>
              <w:bidi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该课程介绍了气相色谱分析、液相色谱分析、质谱分析、电化学分析法、原子发射光谱分</w:t>
            </w:r>
          </w:p>
          <w:p>
            <w:pPr>
              <w:keepNext w:val="0"/>
              <w:keepLines w:val="0"/>
              <w:pageBreakBefore w:val="0"/>
              <w:kinsoku/>
              <w:wordWrap/>
              <w:overflowPunct/>
              <w:topLinePunct w:val="0"/>
              <w:autoSpaceDE/>
              <w:autoSpaceDN/>
              <w:bidi w:val="0"/>
              <w:spacing w:line="300" w:lineRule="auto"/>
              <w:ind w:firstLine="420" w:firstLineChars="20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析、红外吸收光谱分析、紫外吸收光谱分析等分析方法仪器使用。</w:t>
            </w:r>
          </w:p>
        </w:tc>
        <w:tc>
          <w:tcPr>
            <w:tcW w:w="1338" w:type="dxa"/>
            <w:noWrap w:val="0"/>
            <w:vAlign w:val="center"/>
          </w:tcPr>
          <w:p>
            <w:pPr>
              <w:keepNext w:val="0"/>
              <w:keepLines w:val="0"/>
              <w:pageBreakBefore w:val="0"/>
              <w:widowControl/>
              <w:suppressLineNumbers w:val="0"/>
              <w:shd w:val="clear" w:fill="FFFFFF"/>
              <w:kinsoku/>
              <w:wordWrap/>
              <w:overflowPunct/>
              <w:topLinePunct w:val="0"/>
              <w:autoSpaceDE/>
              <w:autoSpaceDN/>
              <w:bidi w:val="0"/>
              <w:spacing w:after="225" w:afterAutospacing="0" w:line="300" w:lineRule="auto"/>
              <w:ind w:left="0" w:leftChars="0"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333333"/>
                <w:spacing w:val="0"/>
                <w:kern w:val="0"/>
                <w:sz w:val="21"/>
                <w:szCs w:val="21"/>
                <w:shd w:val="clear" w:fill="FFFFFF"/>
                <w:lang w:val="en-US" w:eastAsia="zh-CN" w:bidi="ar"/>
              </w:rPr>
              <w:t>项目教学法：以实际应用为目的，通过师生共同完成教学项目而使学生获知识、能力的教学方法。实施以小组为学习单位，咨询、计划、决策、实施、检查、评估。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5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化工单元操作</w:t>
            </w:r>
          </w:p>
        </w:tc>
        <w:tc>
          <w:tcPr>
            <w:tcW w:w="5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126</w:t>
            </w:r>
          </w:p>
        </w:tc>
        <w:tc>
          <w:tcPr>
            <w:tcW w:w="6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264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171A1D"/>
                <w:spacing w:val="0"/>
                <w:sz w:val="21"/>
                <w:szCs w:val="21"/>
                <w:shd w:val="clear" w:color="auto" w:fill="auto"/>
              </w:rPr>
              <w:t>化工单元过程及操作是一门技术性、工程性及应用性都很强的专业课程</w:t>
            </w:r>
            <w:r>
              <w:rPr>
                <w:rFonts w:hint="eastAsia" w:ascii="宋体" w:hAnsi="宋体" w:eastAsia="宋体" w:cs="宋体"/>
                <w:i w:val="0"/>
                <w:iCs w:val="0"/>
                <w:caps w:val="0"/>
                <w:color w:val="171A1D"/>
                <w:spacing w:val="0"/>
                <w:sz w:val="21"/>
                <w:szCs w:val="21"/>
                <w:shd w:val="clear" w:color="auto" w:fill="auto"/>
                <w:lang w:eastAsia="zh-CN"/>
              </w:rPr>
              <w:t>，</w:t>
            </w:r>
            <w:r>
              <w:rPr>
                <w:rFonts w:hint="eastAsia" w:ascii="宋体" w:hAnsi="宋体" w:eastAsia="宋体" w:cs="宋体"/>
                <w:i w:val="0"/>
                <w:iCs w:val="0"/>
                <w:caps w:val="0"/>
                <w:color w:val="171A1D"/>
                <w:spacing w:val="0"/>
                <w:sz w:val="21"/>
                <w:szCs w:val="21"/>
                <w:shd w:val="clear" w:color="auto" w:fill="auto"/>
              </w:rPr>
              <w:t>以化工生产过程作为研究对象，主要研究化工单元操作过程规律在化工生产中的应用，使学生熟练掌握常见的化工单元操作的基本知识与基本技能，初步形成用工程观点观察问题、分析问题、处理操作中遇到的问题的能力，树立良好的职业意识和职业道德观念，为学生学习后续专门课程及将来从事化工生产、技术、管理和服务工作做准备，为提高职业能力打下基础。使学生获得常见化工单元操作过程及设备的基础知识、初步计算能力和基本操作技能，得到用工程技术观点观察问题、分析问题和解决常见操作问题的训练。</w:t>
            </w:r>
          </w:p>
        </w:tc>
        <w:tc>
          <w:tcPr>
            <w:tcW w:w="264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bCs/>
                <w:sz w:val="21"/>
                <w:szCs w:val="21"/>
              </w:rPr>
              <w:t>该课程介绍了</w:t>
            </w:r>
            <w:r>
              <w:rPr>
                <w:rFonts w:hint="eastAsia" w:ascii="宋体" w:hAnsi="宋体" w:eastAsia="宋体" w:cs="宋体"/>
                <w:bCs/>
                <w:sz w:val="21"/>
                <w:szCs w:val="21"/>
                <w:lang w:eastAsia="zh-CN"/>
              </w:rPr>
              <w:t>流体输送、非均相物系的分离、传热、液体蒸馏、气体吸收、固体干燥等相关知识。</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val="0"/>
                <w:bCs w:val="0"/>
                <w:i w:val="0"/>
                <w:iCs w:val="0"/>
                <w:caps w:val="0"/>
                <w:color w:val="333333"/>
                <w:spacing w:val="0"/>
                <w:sz w:val="21"/>
                <w:szCs w:val="21"/>
                <w:lang w:eastAsia="zh-CN"/>
              </w:rPr>
              <w:t>讲授法、讨论法、直观演示法、练习法、读书指导法、自主学习法等教学方法综合运动。</w:t>
            </w:r>
          </w:p>
        </w:tc>
      </w:tr>
    </w:tbl>
    <w:p>
      <w:pPr>
        <w:overflowPunct w:val="0"/>
        <w:ind w:firstLine="560"/>
        <w:rPr>
          <w:rFonts w:hint="eastAsia" w:ascii="宋体" w:hAnsi="宋体" w:cs="宋体"/>
        </w:rPr>
      </w:pPr>
    </w:p>
    <w:p>
      <w:pPr>
        <w:pStyle w:val="72"/>
        <w:ind w:left="0" w:leftChars="0" w:firstLine="0" w:firstLineChars="0"/>
        <w:rPr>
          <w:rFonts w:hint="eastAsia"/>
        </w:rPr>
      </w:pPr>
      <w:bookmarkStart w:id="10" w:name="_Toc17537287"/>
    </w:p>
    <w:p>
      <w:pPr>
        <w:pStyle w:val="72"/>
        <w:ind w:left="0" w:leftChars="0" w:firstLine="0" w:firstLineChars="0"/>
        <w:rPr>
          <w:rFonts w:hint="eastAsia"/>
        </w:rPr>
      </w:pPr>
    </w:p>
    <w:p>
      <w:pPr>
        <w:pStyle w:val="72"/>
        <w:ind w:left="0" w:leftChars="0" w:firstLine="0" w:firstLineChars="0"/>
        <w:rPr>
          <w:rFonts w:hint="eastAsia"/>
        </w:rPr>
      </w:pPr>
    </w:p>
    <w:p>
      <w:pPr>
        <w:pStyle w:val="72"/>
        <w:ind w:left="0" w:leftChars="0" w:firstLine="0" w:firstLineChars="0"/>
        <w:rPr>
          <w:rFonts w:hint="eastAsia"/>
        </w:rPr>
      </w:pPr>
    </w:p>
    <w:p>
      <w:pPr>
        <w:pStyle w:val="72"/>
        <w:numPr>
          <w:ilvl w:val="0"/>
          <w:numId w:val="2"/>
        </w:numPr>
        <w:ind w:left="0" w:leftChars="0" w:firstLine="0" w:firstLineChars="0"/>
      </w:pPr>
      <w:r>
        <w:t>教学进程总体安排</w:t>
      </w:r>
      <w:bookmarkEnd w:id="10"/>
    </w:p>
    <w:p>
      <w:pPr>
        <w:overflowPunct w:val="0"/>
        <w:ind w:firstLine="560"/>
        <w:rPr>
          <w:rFonts w:hint="eastAsia" w:ascii="宋体" w:hAnsi="宋体" w:cs="宋体"/>
          <w:szCs w:val="28"/>
        </w:rPr>
      </w:pPr>
      <w:r>
        <w:rPr>
          <w:rFonts w:hint="eastAsia" w:ascii="宋体" w:hAnsi="宋体" w:cs="宋体"/>
          <w:szCs w:val="28"/>
        </w:rPr>
        <w:t>本专业教学进程如表3所示：</w:t>
      </w:r>
    </w:p>
    <w:p>
      <w:pPr>
        <w:pStyle w:val="73"/>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表3 本专业教学进程表</w:t>
      </w:r>
    </w:p>
    <w:p>
      <w:pPr>
        <w:numPr>
          <w:numId w:val="0"/>
        </w:numPr>
      </w:pPr>
      <w:r>
        <w:rPr>
          <w:rFonts w:hint="eastAsia" w:ascii="宋体" w:hAnsi="宋体" w:cs="宋体" w:eastAsiaTheme="minorEastAsia"/>
          <w:szCs w:val="28"/>
          <w:lang w:eastAsia="zh-CN"/>
        </w:rPr>
        <w:drawing>
          <wp:anchor distT="0" distB="0" distL="114300" distR="114300" simplePos="0" relativeHeight="251659264" behindDoc="0" locked="0" layoutInCell="1" allowOverlap="1">
            <wp:simplePos x="0" y="0"/>
            <wp:positionH relativeFrom="column">
              <wp:posOffset>-524510</wp:posOffset>
            </wp:positionH>
            <wp:positionV relativeFrom="paragraph">
              <wp:posOffset>98425</wp:posOffset>
            </wp:positionV>
            <wp:extent cx="6352540" cy="6847205"/>
            <wp:effectExtent l="0" t="0" r="10160" b="10795"/>
            <wp:wrapTopAndBottom/>
            <wp:docPr id="1" name="图片 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
                    <pic:cNvPicPr>
                      <a:picLocks noChangeAspect="1"/>
                    </pic:cNvPicPr>
                  </pic:nvPicPr>
                  <pic:blipFill>
                    <a:blip r:embed="rId8"/>
                    <a:stretch>
                      <a:fillRect/>
                    </a:stretch>
                  </pic:blipFill>
                  <pic:spPr>
                    <a:xfrm>
                      <a:off x="0" y="0"/>
                      <a:ext cx="6352540" cy="6847205"/>
                    </a:xfrm>
                    <a:prstGeom prst="rect">
                      <a:avLst/>
                    </a:prstGeom>
                  </pic:spPr>
                </pic:pic>
              </a:graphicData>
            </a:graphic>
          </wp:anchor>
        </w:drawing>
      </w:r>
    </w:p>
    <w:p>
      <w:pPr>
        <w:pStyle w:val="2"/>
        <w:ind w:left="0" w:leftChars="0" w:firstLine="0" w:firstLineChars="0"/>
      </w:pPr>
    </w:p>
    <w:p>
      <w:pPr>
        <w:pStyle w:val="2"/>
        <w:ind w:left="0" w:leftChars="0" w:firstLine="0" w:firstLineChars="0"/>
      </w:pPr>
      <w:bookmarkStart w:id="20" w:name="_GoBack"/>
      <w:bookmarkEnd w:id="20"/>
    </w:p>
    <w:p>
      <w:pPr>
        <w:pStyle w:val="72"/>
        <w:ind w:left="0" w:leftChars="0" w:firstLine="0" w:firstLineChars="0"/>
      </w:pPr>
      <w:bookmarkStart w:id="11" w:name="_Toc17537288"/>
      <w:r>
        <w:t>八、实施保障</w:t>
      </w:r>
      <w:bookmarkEnd w:id="11"/>
    </w:p>
    <w:p>
      <w:pPr>
        <w:pStyle w:val="47"/>
        <w:ind w:firstLine="562"/>
      </w:pPr>
      <w:bookmarkStart w:id="12" w:name="_Toc17537289"/>
      <w:r>
        <w:t>（一）师资队伍</w:t>
      </w:r>
      <w:bookmarkEnd w:id="12"/>
    </w:p>
    <w:p>
      <w:pPr>
        <w:spacing w:line="400" w:lineRule="exact"/>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.专业教师资格要求</w:t>
      </w:r>
    </w:p>
    <w:p>
      <w:pPr>
        <w:spacing w:line="400" w:lineRule="exact"/>
        <w:ind w:firstLine="480"/>
        <w:rPr>
          <w:rFonts w:hint="eastAsia" w:ascii="宋体" w:hAnsi="宋体" w:cs="宋体"/>
          <w:color w:val="000000"/>
          <w:sz w:val="24"/>
          <w:szCs w:val="24"/>
        </w:rPr>
      </w:pPr>
      <w:r>
        <w:rPr>
          <w:rFonts w:hint="eastAsia" w:ascii="宋体" w:hAnsi="宋体" w:cs="宋体"/>
          <w:color w:val="000000"/>
          <w:sz w:val="24"/>
          <w:szCs w:val="24"/>
        </w:rPr>
        <w:t>（1）具有中职教师资格证书，并具有化工专业的职业资格等级证书。</w:t>
      </w:r>
    </w:p>
    <w:p>
      <w:pPr>
        <w:spacing w:line="400" w:lineRule="exact"/>
        <w:ind w:firstLine="480"/>
        <w:rPr>
          <w:rFonts w:hint="eastAsia" w:ascii="宋体" w:hAnsi="宋体" w:cs="宋体"/>
          <w:color w:val="000000"/>
          <w:sz w:val="24"/>
          <w:szCs w:val="24"/>
        </w:rPr>
      </w:pPr>
      <w:r>
        <w:rPr>
          <w:rFonts w:hint="eastAsia" w:ascii="宋体" w:hAnsi="宋体" w:cs="宋体"/>
          <w:color w:val="000000"/>
          <w:sz w:val="24"/>
          <w:szCs w:val="24"/>
        </w:rPr>
        <w:t>（2）具有良好的职业道德和敬业精神。</w:t>
      </w:r>
    </w:p>
    <w:p>
      <w:pPr>
        <w:spacing w:line="400" w:lineRule="exact"/>
        <w:ind w:firstLine="480"/>
        <w:rPr>
          <w:rFonts w:hint="eastAsia" w:ascii="宋体" w:hAnsi="宋体" w:cs="宋体"/>
          <w:color w:val="000000"/>
          <w:sz w:val="24"/>
          <w:szCs w:val="24"/>
        </w:rPr>
      </w:pPr>
      <w:r>
        <w:rPr>
          <w:rFonts w:hint="eastAsia" w:ascii="宋体" w:hAnsi="宋体" w:cs="宋体"/>
          <w:color w:val="000000"/>
          <w:sz w:val="24"/>
          <w:szCs w:val="24"/>
        </w:rPr>
        <w:t>（3）具有化工专业领域系统、扎实的理论知识和较强的实践动手能力。</w:t>
      </w:r>
    </w:p>
    <w:p>
      <w:pPr>
        <w:spacing w:line="400" w:lineRule="exact"/>
        <w:ind w:firstLine="480"/>
        <w:rPr>
          <w:rFonts w:hint="eastAsia" w:ascii="宋体" w:hAnsi="宋体" w:cs="宋体"/>
          <w:color w:val="000000"/>
          <w:sz w:val="24"/>
          <w:szCs w:val="24"/>
        </w:rPr>
      </w:pPr>
      <w:r>
        <w:rPr>
          <w:rFonts w:hint="eastAsia" w:ascii="宋体" w:hAnsi="宋体" w:cs="宋体"/>
          <w:color w:val="000000"/>
          <w:sz w:val="24"/>
          <w:szCs w:val="24"/>
        </w:rPr>
        <w:t>（4）具有一定中职教育理念，掌握一定的职业教育教学方法，能正确地分析、设计、实施和评价教学。</w:t>
      </w:r>
    </w:p>
    <w:p>
      <w:pPr>
        <w:spacing w:line="400" w:lineRule="exact"/>
        <w:ind w:firstLine="480"/>
        <w:rPr>
          <w:rFonts w:hint="eastAsia" w:ascii="宋体" w:hAnsi="宋体" w:cs="宋体"/>
          <w:color w:val="000000"/>
          <w:sz w:val="24"/>
          <w:szCs w:val="24"/>
        </w:rPr>
      </w:pPr>
      <w:r>
        <w:rPr>
          <w:rFonts w:hint="eastAsia" w:ascii="宋体" w:hAnsi="宋体" w:cs="宋体"/>
          <w:color w:val="000000"/>
          <w:sz w:val="24"/>
          <w:szCs w:val="24"/>
        </w:rPr>
        <w:t>（5）积极开展教研和科研活动，与企业联系密切，具有较强的专业研究和课程开发能力。</w:t>
      </w:r>
    </w:p>
    <w:p>
      <w:pPr>
        <w:spacing w:line="400" w:lineRule="exact"/>
        <w:ind w:firstLine="480"/>
        <w:rPr>
          <w:rFonts w:hint="eastAsia" w:ascii="宋体" w:hAnsi="宋体" w:cs="宋体"/>
          <w:sz w:val="24"/>
          <w:szCs w:val="24"/>
        </w:rPr>
      </w:pPr>
      <w:r>
        <w:rPr>
          <w:rFonts w:hint="eastAsia" w:ascii="宋体" w:hAnsi="宋体" w:cs="宋体"/>
          <w:color w:val="000000"/>
          <w:sz w:val="24"/>
          <w:szCs w:val="24"/>
        </w:rPr>
        <w:t>（</w:t>
      </w:r>
      <w:r>
        <w:rPr>
          <w:rFonts w:hint="eastAsia" w:ascii="宋体" w:hAnsi="宋体" w:cs="宋体"/>
          <w:sz w:val="24"/>
          <w:szCs w:val="24"/>
        </w:rPr>
        <w:t>6）具有团队协作精神和处理相关公共关系的能力。</w:t>
      </w:r>
    </w:p>
    <w:p>
      <w:pPr>
        <w:spacing w:line="400" w:lineRule="exact"/>
        <w:ind w:firstLine="48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师资配置要求</w:t>
      </w:r>
    </w:p>
    <w:p>
      <w:pPr>
        <w:spacing w:line="400" w:lineRule="exact"/>
        <w:ind w:firstLine="480"/>
        <w:rPr>
          <w:rFonts w:hint="eastAsia" w:ascii="宋体" w:hAnsi="宋体" w:cs="宋体"/>
          <w:sz w:val="24"/>
          <w:szCs w:val="24"/>
        </w:rPr>
      </w:pPr>
      <w:r>
        <w:rPr>
          <w:rFonts w:hint="eastAsia" w:ascii="宋体" w:hAnsi="宋体" w:cs="宋体"/>
          <w:sz w:val="24"/>
          <w:szCs w:val="24"/>
        </w:rPr>
        <w:t>建议改专业配制1:15师生比的专业教师数量，以8个教学班，320学生数计，需要专人教师21名，下表为目前教师配备情况。</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234"/>
        <w:gridCol w:w="1246"/>
        <w:gridCol w:w="2609"/>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姓名</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专业</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学历</w:t>
            </w:r>
          </w:p>
        </w:tc>
        <w:tc>
          <w:tcPr>
            <w:tcW w:w="2609" w:type="dxa"/>
            <w:noWrap w:val="0"/>
            <w:vAlign w:val="center"/>
          </w:tcPr>
          <w:p>
            <w:pPr>
              <w:tabs>
                <w:tab w:val="right" w:pos="6578"/>
              </w:tabs>
              <w:spacing w:line="400" w:lineRule="exact"/>
              <w:jc w:val="center"/>
              <w:rPr>
                <w:rFonts w:hint="eastAsia" w:ascii="宋体" w:hAnsi="宋体" w:eastAsia="宋体" w:cs="宋体"/>
                <w:b/>
                <w:bCs/>
                <w:sz w:val="21"/>
                <w:szCs w:val="21"/>
              </w:rPr>
            </w:pPr>
            <w:r>
              <w:rPr>
                <w:rFonts w:hint="eastAsia" w:ascii="宋体" w:hAnsi="宋体" w:cs="宋体"/>
                <w:b/>
                <w:bCs/>
                <w:sz w:val="21"/>
                <w:szCs w:val="21"/>
                <w:lang w:eastAsia="zh-CN"/>
              </w:rPr>
              <w:t>主讲</w:t>
            </w:r>
            <w:r>
              <w:rPr>
                <w:rFonts w:hint="eastAsia" w:ascii="宋体" w:hAnsi="宋体" w:eastAsia="宋体" w:cs="宋体"/>
                <w:b/>
                <w:bCs/>
                <w:sz w:val="21"/>
                <w:szCs w:val="21"/>
              </w:rPr>
              <w:t>课程</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邵国成</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在职硕士</w:t>
            </w:r>
          </w:p>
        </w:tc>
        <w:tc>
          <w:tcPr>
            <w:tcW w:w="2609" w:type="dxa"/>
            <w:noWrap w:val="0"/>
            <w:vAlign w:val="center"/>
          </w:tcPr>
          <w:p>
            <w:pPr>
              <w:widowControl/>
              <w:tabs>
                <w:tab w:val="right" w:pos="6578"/>
              </w:tabs>
              <w:spacing w:line="400" w:lineRule="exact"/>
              <w:jc w:val="center"/>
              <w:rPr>
                <w:rFonts w:hint="eastAsia" w:ascii="宋体" w:hAnsi="宋体" w:eastAsia="宋体" w:cs="宋体"/>
                <w:sz w:val="21"/>
                <w:szCs w:val="21"/>
              </w:rPr>
            </w:pPr>
            <w:r>
              <w:rPr>
                <w:rFonts w:hint="eastAsia" w:ascii="宋体" w:hAnsi="宋体" w:eastAsia="宋体" w:cs="宋体"/>
                <w:sz w:val="21"/>
                <w:szCs w:val="21"/>
              </w:rPr>
              <w:t>化学基础</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cs="宋体"/>
                <w:sz w:val="21"/>
                <w:szCs w:val="21"/>
                <w:lang w:eastAsia="zh-CN"/>
              </w:rPr>
              <w:t>正</w:t>
            </w:r>
            <w:r>
              <w:rPr>
                <w:rFonts w:hint="eastAsia" w:ascii="宋体" w:hAnsi="宋体" w:eastAsia="宋体" w:cs="宋体"/>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俞伯军</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本科</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r>
              <w:rPr>
                <w:rFonts w:hint="eastAsia" w:ascii="宋体" w:hAnsi="宋体" w:cs="宋体"/>
                <w:sz w:val="21"/>
                <w:szCs w:val="21"/>
                <w:lang w:eastAsia="zh-CN"/>
              </w:rPr>
              <w:t>工安全、</w:t>
            </w:r>
            <w:r>
              <w:rPr>
                <w:rFonts w:hint="eastAsia" w:ascii="宋体" w:hAnsi="宋体" w:eastAsia="宋体" w:cs="宋体"/>
                <w:sz w:val="21"/>
                <w:szCs w:val="21"/>
              </w:rPr>
              <w:t>工业分析</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高级讲师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石小飞</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本科</w:t>
            </w:r>
          </w:p>
        </w:tc>
        <w:tc>
          <w:tcPr>
            <w:tcW w:w="2609" w:type="dxa"/>
            <w:noWrap w:val="0"/>
            <w:vAlign w:val="center"/>
          </w:tcPr>
          <w:p>
            <w:pPr>
              <w:widowControl/>
              <w:tabs>
                <w:tab w:val="right" w:pos="6578"/>
              </w:tabs>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eastAsia="zh-CN"/>
              </w:rPr>
              <w:t>仪器分析、食品分析</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高级讲师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车宇樑</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博士</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化工工艺、化学分析</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许丽君</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在职硕士</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r>
              <w:rPr>
                <w:rFonts w:hint="eastAsia" w:ascii="宋体" w:hAnsi="宋体" w:cs="宋体"/>
                <w:sz w:val="21"/>
                <w:szCs w:val="21"/>
                <w:lang w:eastAsia="zh-CN"/>
              </w:rPr>
              <w:t>环保</w:t>
            </w:r>
            <w:r>
              <w:rPr>
                <w:rFonts w:hint="eastAsia" w:ascii="宋体" w:hAnsi="宋体" w:eastAsia="宋体" w:cs="宋体"/>
                <w:sz w:val="21"/>
                <w:szCs w:val="21"/>
              </w:rPr>
              <w:t>、化学分析</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李巍</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在职硕士</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化学基础</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化工单元</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李建荣</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本科</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化学基础、化工</w:t>
            </w:r>
            <w:r>
              <w:rPr>
                <w:rFonts w:hint="eastAsia" w:ascii="宋体" w:hAnsi="宋体" w:cs="宋体"/>
                <w:sz w:val="21"/>
                <w:szCs w:val="21"/>
                <w:lang w:eastAsia="zh-CN"/>
              </w:rPr>
              <w:t>单元</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王建赟</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本科</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化学基础</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陈洁</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本科</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化学分析</w:t>
            </w:r>
            <w:r>
              <w:rPr>
                <w:rFonts w:hint="eastAsia" w:ascii="宋体" w:hAnsi="宋体" w:eastAsia="宋体" w:cs="宋体"/>
                <w:sz w:val="21"/>
                <w:szCs w:val="21"/>
              </w:rPr>
              <w:t>、化</w:t>
            </w:r>
            <w:r>
              <w:rPr>
                <w:rFonts w:hint="eastAsia" w:ascii="宋体" w:hAnsi="宋体" w:cs="宋体"/>
                <w:sz w:val="21"/>
                <w:szCs w:val="21"/>
                <w:lang w:eastAsia="zh-CN"/>
              </w:rPr>
              <w:t>工单元</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助理讲师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宣丹虹</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本科</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化学基础、化学分析</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傅美玲</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本</w:t>
            </w:r>
            <w:r>
              <w:rPr>
                <w:rFonts w:hint="eastAsia" w:ascii="宋体" w:hAnsi="宋体" w:eastAsia="宋体" w:cs="宋体"/>
                <w:sz w:val="21"/>
                <w:szCs w:val="21"/>
              </w:rPr>
              <w:t>科</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化学分析</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助理讲师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97" w:type="dxa"/>
            <w:noWrap w:val="0"/>
            <w:vAlign w:val="center"/>
          </w:tcPr>
          <w:p>
            <w:pPr>
              <w:tabs>
                <w:tab w:val="right" w:pos="6578"/>
              </w:tabs>
              <w:spacing w:line="400" w:lineRule="exact"/>
              <w:ind w:left="0" w:leftChars="0" w:firstLine="0" w:firstLineChars="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罗超</w:t>
            </w:r>
          </w:p>
        </w:tc>
        <w:tc>
          <w:tcPr>
            <w:tcW w:w="1234"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化工</w:t>
            </w:r>
          </w:p>
        </w:tc>
        <w:tc>
          <w:tcPr>
            <w:tcW w:w="12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硕士</w:t>
            </w:r>
          </w:p>
        </w:tc>
        <w:tc>
          <w:tcPr>
            <w:tcW w:w="2609"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化</w:t>
            </w:r>
            <w:r>
              <w:rPr>
                <w:rFonts w:hint="eastAsia" w:ascii="宋体" w:hAnsi="宋体" w:eastAsia="宋体" w:cs="宋体"/>
                <w:sz w:val="21"/>
                <w:szCs w:val="21"/>
                <w:lang w:eastAsia="zh-CN"/>
              </w:rPr>
              <w:t>工</w:t>
            </w:r>
            <w:r>
              <w:rPr>
                <w:rFonts w:hint="eastAsia" w:ascii="宋体" w:hAnsi="宋体" w:cs="宋体"/>
                <w:sz w:val="21"/>
                <w:szCs w:val="21"/>
                <w:lang w:eastAsia="zh-CN"/>
              </w:rPr>
              <w:t>工艺、化学基础</w:t>
            </w:r>
          </w:p>
        </w:tc>
        <w:tc>
          <w:tcPr>
            <w:tcW w:w="1546" w:type="dxa"/>
            <w:noWrap w:val="0"/>
            <w:vAlign w:val="center"/>
          </w:tcPr>
          <w:p>
            <w:pPr>
              <w:widowControl/>
              <w:tabs>
                <w:tab w:val="right" w:pos="6578"/>
              </w:tabs>
              <w:spacing w:line="40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助理讲师</w:t>
            </w:r>
          </w:p>
        </w:tc>
      </w:tr>
    </w:tbl>
    <w:p>
      <w:pPr>
        <w:spacing w:line="400" w:lineRule="exact"/>
        <w:rPr>
          <w:rFonts w:hint="eastAsia" w:ascii="宋体" w:hAnsi="宋体" w:cs="宋体"/>
          <w:sz w:val="24"/>
          <w:szCs w:val="24"/>
        </w:rPr>
      </w:pPr>
    </w:p>
    <w:p/>
    <w:p>
      <w:pPr>
        <w:pStyle w:val="47"/>
        <w:ind w:firstLine="562"/>
      </w:pPr>
      <w:bookmarkStart w:id="13" w:name="_Toc17537290"/>
      <w:r>
        <w:t>（二）教学设施</w:t>
      </w:r>
      <w:bookmarkEnd w:id="13"/>
    </w:p>
    <w:p>
      <w:pPr>
        <w:pStyle w:val="73"/>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ascii="宋体" w:hAnsi="宋体" w:cs="宋体"/>
          <w:szCs w:val="28"/>
        </w:rPr>
      </w:pPr>
      <w:r>
        <w:rPr>
          <w:rFonts w:hint="eastAsia"/>
          <w:sz w:val="24"/>
          <w:szCs w:val="24"/>
        </w:rPr>
        <w:t>表</w:t>
      </w:r>
      <w:r>
        <w:rPr>
          <w:rFonts w:hint="eastAsia"/>
          <w:sz w:val="24"/>
          <w:szCs w:val="24"/>
          <w:lang w:val="en-US" w:eastAsia="zh-CN"/>
        </w:rPr>
        <w:t xml:space="preserve">4  </w:t>
      </w:r>
      <w:r>
        <w:rPr>
          <w:rFonts w:hint="eastAsia" w:ascii="宋体" w:hAnsi="宋体" w:cs="宋体"/>
          <w:szCs w:val="28"/>
        </w:rPr>
        <w:t>校内实训（实验）教学功能室</w:t>
      </w:r>
    </w:p>
    <w:tbl>
      <w:tblPr>
        <w:tblStyle w:val="23"/>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732"/>
        <w:gridCol w:w="1855"/>
        <w:gridCol w:w="3878"/>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23" w:type="dxa"/>
            <w:noWrap w:val="0"/>
            <w:vAlign w:val="center"/>
          </w:tcPr>
          <w:p>
            <w:pPr>
              <w:spacing w:line="400" w:lineRule="exact"/>
              <w:jc w:val="center"/>
              <w:rPr>
                <w:rFonts w:hint="eastAsia" w:ascii="宋体" w:hAnsi="宋体" w:eastAsia="宋体" w:cs="宋体"/>
                <w:b/>
                <w:bCs/>
                <w:color w:val="000000"/>
                <w:sz w:val="21"/>
                <w:szCs w:val="21"/>
              </w:rPr>
            </w:pPr>
            <w:bookmarkStart w:id="14" w:name="_Toc17537291"/>
            <w:r>
              <w:rPr>
                <w:rFonts w:hint="eastAsia" w:ascii="宋体" w:hAnsi="宋体" w:eastAsia="宋体" w:cs="宋体"/>
                <w:b/>
                <w:bCs/>
                <w:color w:val="000000"/>
                <w:sz w:val="21"/>
                <w:szCs w:val="21"/>
              </w:rPr>
              <w:t>序</w:t>
            </w:r>
            <w:r>
              <w:rPr>
                <w:rFonts w:hint="eastAsia" w:ascii="宋体" w:hAnsi="宋体" w:eastAsia="宋体" w:cs="宋体"/>
                <w:b/>
                <w:bCs/>
                <w:color w:val="000000"/>
                <w:sz w:val="21"/>
                <w:szCs w:val="21"/>
                <w:lang w:eastAsia="zh-CN"/>
              </w:rPr>
              <w:t>序</w:t>
            </w:r>
            <w:r>
              <w:rPr>
                <w:rFonts w:hint="eastAsia" w:ascii="宋体" w:hAnsi="宋体" w:eastAsia="宋体" w:cs="宋体"/>
                <w:b/>
                <w:bCs/>
                <w:color w:val="000000"/>
                <w:sz w:val="21"/>
                <w:szCs w:val="21"/>
              </w:rPr>
              <w:t>号</w:t>
            </w:r>
          </w:p>
        </w:tc>
        <w:tc>
          <w:tcPr>
            <w:tcW w:w="1732" w:type="dxa"/>
            <w:noWrap w:val="0"/>
            <w:vAlign w:val="center"/>
          </w:tcPr>
          <w:p>
            <w:pPr>
              <w:spacing w:line="400" w:lineRule="exact"/>
              <w:ind w:left="0" w:leftChars="0" w:firstLine="0" w:firstLineChars="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实训室名称</w:t>
            </w:r>
          </w:p>
        </w:tc>
        <w:tc>
          <w:tcPr>
            <w:tcW w:w="1855" w:type="dxa"/>
            <w:noWrap w:val="0"/>
            <w:vAlign w:val="center"/>
          </w:tcPr>
          <w:p>
            <w:pPr>
              <w:spacing w:line="400" w:lineRule="exact"/>
              <w:ind w:left="0" w:leftChars="0" w:firstLine="0" w:firstLineChars="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设备名称</w:t>
            </w:r>
          </w:p>
        </w:tc>
        <w:tc>
          <w:tcPr>
            <w:tcW w:w="3878" w:type="dxa"/>
            <w:noWrap w:val="0"/>
            <w:vAlign w:val="center"/>
          </w:tcPr>
          <w:p>
            <w:pPr>
              <w:spacing w:line="400" w:lineRule="exact"/>
              <w:ind w:left="0" w:leftChars="0" w:firstLine="0" w:firstLineChars="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教学功能</w:t>
            </w:r>
          </w:p>
        </w:tc>
        <w:tc>
          <w:tcPr>
            <w:tcW w:w="1084" w:type="dxa"/>
            <w:noWrap w:val="0"/>
            <w:vAlign w:val="center"/>
          </w:tcPr>
          <w:p>
            <w:pPr>
              <w:spacing w:line="400" w:lineRule="exact"/>
              <w:ind w:left="0" w:leftChars="0" w:firstLine="0" w:firstLineChars="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523" w:type="dxa"/>
            <w:vMerge w:val="restart"/>
            <w:noWrap w:val="0"/>
            <w:vAlign w:val="center"/>
          </w:tcPr>
          <w:p>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11</w:t>
            </w:r>
          </w:p>
        </w:tc>
        <w:tc>
          <w:tcPr>
            <w:tcW w:w="1732" w:type="dxa"/>
            <w:vMerge w:val="restart"/>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分光光度、</w:t>
            </w:r>
          </w:p>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粒子计实验室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紫外可见分光光度仪</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用于仪器分析实训中各类光度实训内容的开设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23" w:type="dxa"/>
            <w:vMerge w:val="continue"/>
            <w:noWrap w:val="0"/>
            <w:vAlign w:val="center"/>
          </w:tcPr>
          <w:p>
            <w:pPr>
              <w:spacing w:line="400" w:lineRule="exact"/>
              <w:jc w:val="center"/>
              <w:rPr>
                <w:rFonts w:hint="eastAsia" w:ascii="宋体" w:hAnsi="宋体" w:eastAsia="宋体" w:cs="宋体"/>
                <w:color w:val="000000"/>
                <w:sz w:val="21"/>
                <w:szCs w:val="21"/>
              </w:rPr>
            </w:pPr>
          </w:p>
        </w:tc>
        <w:tc>
          <w:tcPr>
            <w:tcW w:w="1732" w:type="dxa"/>
            <w:vMerge w:val="continue"/>
            <w:noWrap w:val="0"/>
            <w:vAlign w:val="center"/>
          </w:tcPr>
          <w:p>
            <w:pPr>
              <w:spacing w:line="400" w:lineRule="exact"/>
              <w:jc w:val="center"/>
              <w:rPr>
                <w:rFonts w:hint="eastAsia" w:ascii="宋体" w:hAnsi="宋体" w:eastAsia="宋体" w:cs="宋体"/>
                <w:color w:val="000000"/>
                <w:sz w:val="21"/>
                <w:szCs w:val="21"/>
              </w:rPr>
            </w:pP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紫外光度仪</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精度更高、结构更优的光度仪，可用于各类光度实验的开设以及竞赛的训练</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pacing w:val="-20"/>
                <w:sz w:val="21"/>
                <w:szCs w:val="21"/>
              </w:rPr>
            </w:pPr>
            <w:r>
              <w:rPr>
                <w:rFonts w:hint="eastAsia" w:ascii="宋体" w:hAnsi="宋体" w:eastAsia="宋体" w:cs="宋体"/>
                <w:color w:val="000000"/>
                <w:spacing w:val="-20"/>
                <w:sz w:val="21"/>
                <w:szCs w:val="21"/>
              </w:rPr>
              <w:t>14台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3" w:type="dxa"/>
            <w:noWrap w:val="0"/>
            <w:vAlign w:val="center"/>
          </w:tcPr>
          <w:p>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22</w:t>
            </w:r>
          </w:p>
        </w:tc>
        <w:tc>
          <w:tcPr>
            <w:tcW w:w="1732"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容量分析实验室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化学分析成套设备（包括各种移液管、滴定管、容量瓶、试剂瓶、烧杯、酒精灯等分析类玻璃仪器）</w:t>
            </w:r>
          </w:p>
        </w:tc>
        <w:tc>
          <w:tcPr>
            <w:tcW w:w="3878" w:type="dxa"/>
            <w:noWrap w:val="0"/>
            <w:vAlign w:val="center"/>
          </w:tcPr>
          <w:p>
            <w:pPr>
              <w:pStyle w:val="21"/>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用于分析化学各个实训内容的开设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3" w:type="dxa"/>
            <w:vMerge w:val="restart"/>
            <w:noWrap w:val="0"/>
            <w:vAlign w:val="center"/>
          </w:tcPr>
          <w:p>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33</w:t>
            </w:r>
          </w:p>
        </w:tc>
        <w:tc>
          <w:tcPr>
            <w:tcW w:w="1732" w:type="dxa"/>
            <w:vMerge w:val="restart"/>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色相色谱实验室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气相色谱仪</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用于仪器分析实训中气相色谱实训内容的开设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3" w:type="dxa"/>
            <w:vMerge w:val="continue"/>
            <w:noWrap w:val="0"/>
            <w:vAlign w:val="center"/>
          </w:tcPr>
          <w:p>
            <w:pPr>
              <w:spacing w:line="400" w:lineRule="exact"/>
              <w:jc w:val="center"/>
              <w:rPr>
                <w:rFonts w:hint="eastAsia" w:ascii="宋体" w:hAnsi="宋体" w:eastAsia="宋体" w:cs="宋体"/>
                <w:color w:val="000000"/>
                <w:sz w:val="21"/>
                <w:szCs w:val="21"/>
              </w:rPr>
            </w:pPr>
          </w:p>
        </w:tc>
        <w:tc>
          <w:tcPr>
            <w:tcW w:w="1732" w:type="dxa"/>
            <w:vMerge w:val="continue"/>
            <w:noWrap w:val="0"/>
            <w:vAlign w:val="center"/>
          </w:tcPr>
          <w:p>
            <w:pPr>
              <w:spacing w:line="400" w:lineRule="exact"/>
              <w:jc w:val="center"/>
              <w:rPr>
                <w:rFonts w:hint="eastAsia" w:ascii="宋体" w:hAnsi="宋体" w:eastAsia="宋体" w:cs="宋体"/>
                <w:color w:val="000000"/>
                <w:sz w:val="21"/>
                <w:szCs w:val="21"/>
              </w:rPr>
            </w:pP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色谱仪工具库（包括色谱用管件、阀门、工具等）</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配合仪器分析实训中气相色谱实训内容的开设梳理完成</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3" w:type="dxa"/>
            <w:vMerge w:val="restart"/>
            <w:noWrap w:val="0"/>
            <w:vAlign w:val="center"/>
          </w:tcPr>
          <w:p>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34</w:t>
            </w:r>
          </w:p>
        </w:tc>
        <w:tc>
          <w:tcPr>
            <w:tcW w:w="1732" w:type="dxa"/>
            <w:vMerge w:val="restart"/>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分析天平实验室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电子分析用天平</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用于化学药品和试剂的称量</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3" w:type="dxa"/>
            <w:vMerge w:val="continue"/>
            <w:noWrap w:val="0"/>
            <w:vAlign w:val="center"/>
          </w:tcPr>
          <w:p>
            <w:pPr>
              <w:spacing w:line="400" w:lineRule="exact"/>
              <w:jc w:val="center"/>
              <w:rPr>
                <w:rFonts w:hint="eastAsia" w:ascii="宋体" w:hAnsi="宋体" w:eastAsia="宋体" w:cs="宋体"/>
                <w:color w:val="000000"/>
                <w:sz w:val="21"/>
                <w:szCs w:val="21"/>
              </w:rPr>
            </w:pPr>
          </w:p>
        </w:tc>
        <w:tc>
          <w:tcPr>
            <w:tcW w:w="1732" w:type="dxa"/>
            <w:vMerge w:val="continue"/>
            <w:noWrap w:val="0"/>
            <w:vAlign w:val="center"/>
          </w:tcPr>
          <w:p>
            <w:pPr>
              <w:spacing w:line="400" w:lineRule="exact"/>
              <w:jc w:val="center"/>
              <w:rPr>
                <w:rFonts w:hint="eastAsia" w:ascii="宋体" w:hAnsi="宋体" w:eastAsia="宋体" w:cs="宋体"/>
                <w:color w:val="000000"/>
                <w:sz w:val="21"/>
                <w:szCs w:val="21"/>
              </w:rPr>
            </w:pP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干燥器</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用于化学药品和试剂的存储</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523" w:type="dxa"/>
            <w:noWrap w:val="0"/>
            <w:vAlign w:val="center"/>
          </w:tcPr>
          <w:p>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55</w:t>
            </w:r>
          </w:p>
        </w:tc>
        <w:tc>
          <w:tcPr>
            <w:tcW w:w="1732"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原子吸收实验室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原子吸收仪</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用于仪器分析实训中原子吸收实训内容的开设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23" w:type="dxa"/>
            <w:noWrap w:val="0"/>
            <w:vAlign w:val="center"/>
          </w:tcPr>
          <w:p>
            <w:pPr>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66</w:t>
            </w:r>
          </w:p>
        </w:tc>
        <w:tc>
          <w:tcPr>
            <w:tcW w:w="1732"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工业污水处理实试中心</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工业污水处理装置</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用于工业分析实训中污水处理实训内容的开设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3" w:type="dxa"/>
            <w:noWrap w:val="0"/>
            <w:vAlign w:val="center"/>
          </w:tcPr>
          <w:p>
            <w:pPr>
              <w:spacing w:line="400" w:lineRule="exact"/>
              <w:jc w:val="center"/>
              <w:rPr>
                <w:rFonts w:hint="default"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67</w:t>
            </w:r>
          </w:p>
        </w:tc>
        <w:tc>
          <w:tcPr>
            <w:tcW w:w="1732"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化工基础实验室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化学基础实验设备（包括烧杯、量筒、酒精灯、漏斗等基础性化学实验设备）</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用于各类化学基础实验的开设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3" w:type="dxa"/>
            <w:noWrap w:val="0"/>
            <w:vAlign w:val="center"/>
          </w:tcPr>
          <w:p>
            <w:pPr>
              <w:spacing w:line="400" w:lineRule="exact"/>
              <w:jc w:val="center"/>
              <w:rPr>
                <w:rFonts w:hint="default"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78</w:t>
            </w:r>
          </w:p>
        </w:tc>
        <w:tc>
          <w:tcPr>
            <w:tcW w:w="1732"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有机化学实验室</w:t>
            </w:r>
          </w:p>
        </w:tc>
        <w:tc>
          <w:tcPr>
            <w:tcW w:w="1855"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有机化学实验设备（包括烧瓶、冷凝管、酒精灯、接收器等基础有机化学实验设备）</w:t>
            </w:r>
          </w:p>
        </w:tc>
        <w:tc>
          <w:tcPr>
            <w:tcW w:w="3878"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用于各类有机化学实验的开设</w:t>
            </w:r>
          </w:p>
        </w:tc>
        <w:tc>
          <w:tcPr>
            <w:tcW w:w="1084" w:type="dxa"/>
            <w:noWrap w:val="0"/>
            <w:vAlign w:val="center"/>
          </w:tcPr>
          <w:p>
            <w:pPr>
              <w:spacing w:line="400" w:lineRule="exact"/>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32套</w:t>
            </w:r>
          </w:p>
        </w:tc>
      </w:tr>
    </w:tbl>
    <w:p>
      <w:pPr>
        <w:pStyle w:val="2"/>
      </w:pPr>
    </w:p>
    <w:p>
      <w:pPr>
        <w:pStyle w:val="47"/>
        <w:ind w:firstLine="562"/>
      </w:pPr>
      <w:r>
        <w:t>（三）教学资源</w:t>
      </w:r>
      <w:bookmarkEnd w:id="14"/>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1.教材选用</w:t>
      </w:r>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我校</w:t>
      </w:r>
      <w:r>
        <w:rPr>
          <w:rFonts w:hint="eastAsia" w:ascii="宋体" w:hAnsi="宋体" w:cs="宋体"/>
          <w:sz w:val="28"/>
          <w:szCs w:val="28"/>
          <w:lang w:eastAsia="zh-CN"/>
        </w:rPr>
        <w:t>药剂</w:t>
      </w:r>
      <w:r>
        <w:rPr>
          <w:rFonts w:hint="eastAsia" w:ascii="宋体" w:hAnsi="宋体" w:eastAsia="宋体" w:cs="宋体"/>
          <w:sz w:val="28"/>
          <w:szCs w:val="28"/>
          <w:lang w:val="en-US" w:eastAsia="zh-CN"/>
        </w:rPr>
        <w:t>工艺</w:t>
      </w:r>
      <w:r>
        <w:rPr>
          <w:rFonts w:hint="eastAsia" w:ascii="宋体" w:hAnsi="宋体" w:eastAsia="宋体" w:cs="宋体"/>
          <w:sz w:val="28"/>
          <w:szCs w:val="28"/>
        </w:rPr>
        <w:t>专业选用教材一般为人民卫生版社以及中国医药科技出版社</w:t>
      </w:r>
      <w:r>
        <w:rPr>
          <w:rFonts w:hint="eastAsia" w:ascii="宋体" w:hAnsi="宋体" w:eastAsia="宋体" w:cs="宋体"/>
          <w:sz w:val="28"/>
          <w:szCs w:val="28"/>
          <w:lang w:val="en-US" w:eastAsia="zh-CN"/>
        </w:rPr>
        <w:t>出版</w:t>
      </w:r>
      <w:r>
        <w:rPr>
          <w:rFonts w:hint="eastAsia" w:ascii="宋体" w:hAnsi="宋体" w:eastAsia="宋体" w:cs="宋体"/>
          <w:sz w:val="28"/>
          <w:szCs w:val="28"/>
        </w:rPr>
        <w:t>的中等职业学校规划教材。</w:t>
      </w:r>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2.数字资源配备</w:t>
      </w:r>
    </w:p>
    <w:p>
      <w:pPr>
        <w:numPr>
          <w:ilvl w:val="0"/>
          <w:numId w:val="0"/>
        </w:numPr>
        <w:ind w:firstLine="560" w:firstLineChars="200"/>
      </w:pPr>
      <w:r>
        <w:rPr>
          <w:rFonts w:hint="eastAsia" w:ascii="宋体" w:hAnsi="宋体" w:eastAsia="宋体" w:cs="宋体"/>
          <w:sz w:val="28"/>
          <w:szCs w:val="28"/>
        </w:rPr>
        <w:t>专业课配备合适的数字教学资源，如课件，微课，慕课，教学参考资料，学案，题库等辅助教学工具，完善超星教学平台内容，逐渐让该平台成为学生课余学习的主要途径。</w:t>
      </w:r>
    </w:p>
    <w:p>
      <w:pPr>
        <w:pStyle w:val="47"/>
        <w:ind w:firstLine="562"/>
      </w:pPr>
      <w:bookmarkStart w:id="15" w:name="_Toc17537292"/>
      <w:r>
        <w:t>（四）教学方法</w:t>
      </w:r>
      <w:bookmarkEnd w:id="15"/>
    </w:p>
    <w:p>
      <w:pPr>
        <w:spacing w:line="360" w:lineRule="auto"/>
        <w:ind w:right="34" w:rightChars="12" w:firstLine="560" w:firstLineChars="200"/>
        <w:contextualSpacing/>
        <w:rPr>
          <w:rFonts w:ascii="宋体" w:hAnsi="宋体" w:eastAsia="宋体" w:cs="宋体"/>
          <w:sz w:val="28"/>
          <w:szCs w:val="28"/>
        </w:rPr>
      </w:pPr>
      <w:r>
        <w:rPr>
          <w:rFonts w:hint="eastAsia" w:ascii="宋体" w:hAnsi="宋体" w:eastAsia="宋体" w:cs="宋体"/>
          <w:sz w:val="28"/>
          <w:szCs w:val="28"/>
        </w:rPr>
        <w:t>改善教与学的方法，教学中充分发挥教师的主导作用和学生的主体作用，应用适合不同学生的教学方法进行教学，如倡导基于问题为本的学习、研究性学习、有效学习等，使学生在学习知识和技能的同时，提高自主学习的能力、评判性思维能力、分析解决问题的能力。</w:t>
      </w:r>
    </w:p>
    <w:p>
      <w:pPr>
        <w:spacing w:line="360" w:lineRule="auto"/>
        <w:ind w:right="34" w:rightChars="12" w:firstLine="560" w:firstLineChars="200"/>
        <w:contextualSpacing/>
      </w:pPr>
      <w:r>
        <w:rPr>
          <w:rFonts w:hint="eastAsia" w:ascii="宋体" w:hAnsi="宋体" w:eastAsia="宋体" w:cs="宋体"/>
          <w:sz w:val="28"/>
          <w:szCs w:val="28"/>
        </w:rPr>
        <w:t>提倡充分运用教学资源，采用讲授、方法讨论、示教、实验、多媒体、自学和辅导等方式，达到最好的教学效果。倡导同学之间交流、沟通、互相协作的学习风气，营造良好的学习氛围，培养学生分析解决问题的能力和团队协作精神。</w:t>
      </w:r>
    </w:p>
    <w:p/>
    <w:p>
      <w:pPr>
        <w:numPr>
          <w:ilvl w:val="0"/>
          <w:numId w:val="3"/>
        </w:numPr>
        <w:overflowPunct w:val="0"/>
        <w:spacing w:line="360" w:lineRule="auto"/>
        <w:ind w:firstLine="562" w:firstLineChars="200"/>
        <w:contextualSpacing/>
        <w:outlineLvl w:val="0"/>
        <w:rPr>
          <w:b/>
          <w:bCs/>
        </w:rPr>
      </w:pPr>
      <w:bookmarkStart w:id="16" w:name="_Toc17537293"/>
      <w:r>
        <w:rPr>
          <w:b/>
          <w:bCs/>
        </w:rPr>
        <w:t>学习评价</w:t>
      </w:r>
      <w:bookmarkEnd w:id="16"/>
    </w:p>
    <w:p>
      <w:pPr>
        <w:numPr>
          <w:ilvl w:val="0"/>
          <w:numId w:val="0"/>
        </w:numPr>
        <w:overflowPunct w:val="0"/>
        <w:spacing w:line="360" w:lineRule="auto"/>
        <w:ind w:firstLine="840" w:firstLineChars="300"/>
        <w:contextualSpacing/>
        <w:outlineLvl w:val="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1.评价原则</w:t>
      </w:r>
    </w:p>
    <w:p>
      <w:pPr>
        <w:pStyle w:val="99"/>
        <w:adjustRightInd/>
        <w:snapToGrid/>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（1）过程性评价</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对于课程考核要改变原有的一次性考核决定学生成绩的方式，要结合学生的日常课堂学习结果和学习过程中所表现出来的职业能力、职业态度、团队合作等综合职业素养，使评价的结果更具科学性。</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（2）双形式评价</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要将理论考核与实践考核两种形式并举，坚持职业教育“理论够用、技能突出”的原则，从而评价出学生的行动能力和创新能力。</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（3）多主体评价</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学生通过学习掌握从事专业领域实际工作所需的基本能力和基本技能，其评价主体不能只是教师，应该呈现“教师、学生、企业、社会”的多元主体。</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①教师公开评价。对于实训课程，教师应将评价标准，包括实训教学进程安排预先告知学生，根据评价标准来考评学生的学习成果与表现。</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②学生参与评价。理论阐述、模拟实践操作部分的考评视课程内容，采用教师与学生共同打分的方式，保证学生的评分比重。</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③企业师傅评价。在工学交替期间，由企业师傅对学生岗位实训和实习情况评价。学生通过企业师傅的打分及评语，了解企业对自己的认可程度；在毕业实习环节上，以企业评价为主,学校指导教师评价为辅，突出对学生实践学习过程中表现出的工作能力和态度的评价。</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④社会考证评价。学生要将所掌握的专业知识和基本技能去参加社会考证，获得相关技能证书，以增强就业资本和竞争优势。</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2.评价结构</w:t>
      </w:r>
    </w:p>
    <w:p>
      <w:pPr>
        <w:overflowPunct w:val="0"/>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（1）专业纯理论课</w:t>
      </w:r>
    </w:p>
    <w:p>
      <w:pPr>
        <w:overflowPunct w:val="0"/>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专业纯理论课教学评价主要以理论考试为主，平时成绩占40%，期中成绩占30%，期末成绩占30%，期中、期末以考试的形式为主，平时成绩则由任课老师根据学生平时表现、作业情况、单元测试的成绩等过程性评价内容进行综合评定（学生职业素养的实际提升情况和课程思想政治达成目标为主要参考依据）。</w:t>
      </w:r>
    </w:p>
    <w:p>
      <w:pPr>
        <w:overflowPunct w:val="0"/>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（2）专业实践操作课</w:t>
      </w:r>
    </w:p>
    <w:p>
      <w:pPr>
        <w:numPr>
          <w:ilvl w:val="0"/>
          <w:numId w:val="0"/>
        </w:numPr>
        <w:ind w:firstLine="560" w:firstLineChars="200"/>
      </w:pPr>
      <w:r>
        <w:rPr>
          <w:rFonts w:hint="eastAsia" w:ascii="宋体" w:hAnsi="宋体" w:eastAsia="宋体" w:cs="宋体"/>
          <w:sz w:val="28"/>
          <w:szCs w:val="28"/>
        </w:rPr>
        <w:t>无论是理实一体化课程还是纯实践操作课程，其评价主要以实践操作为主，平时操作成绩占40%，期中操作成绩占30%，期末操作成绩占30%，期中、期末以操作考试的形式为主（附带部分理论测试题），平时成绩则有任课老师根据学生平时操作情况、卫生值日情况、安全生产情况、课后作业情况、阶段性操作测试的成绩等过程性评价内容进行综合评定（学生职业素养的实际提升情况、课程思想政治达成目标、职业安全和规范意识养成目标为主要参考依据）。</w:t>
      </w:r>
    </w:p>
    <w:p>
      <w:pPr>
        <w:pStyle w:val="47"/>
        <w:ind w:firstLine="562"/>
      </w:pPr>
    </w:p>
    <w:p>
      <w:pPr>
        <w:numPr>
          <w:ilvl w:val="0"/>
          <w:numId w:val="3"/>
        </w:numPr>
        <w:spacing w:line="360" w:lineRule="auto"/>
        <w:ind w:left="0" w:leftChars="0" w:firstLine="562" w:firstLineChars="200"/>
        <w:contextualSpacing/>
        <w:rPr>
          <w:b/>
          <w:bCs/>
        </w:rPr>
      </w:pPr>
      <w:bookmarkStart w:id="17" w:name="_Toc17537294"/>
      <w:r>
        <w:rPr>
          <w:b/>
          <w:bCs/>
        </w:rPr>
        <w:t>质量管理</w:t>
      </w:r>
      <w:bookmarkEnd w:id="17"/>
    </w:p>
    <w:p>
      <w:pPr>
        <w:numPr>
          <w:ilvl w:val="0"/>
          <w:numId w:val="0"/>
        </w:num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根据专业自身的特点建立健全配套的教学管理制度，做到以人为本，科学规范，在教学过程中，要有一定的规范性和灵活性，在实行工学交替时需要弹性学制并及时总结反馈，不断改进。合理调配专业教师、专业实训室等教学资源，通过教学管理促进教师教学能力的提升，不断提高教学质量。</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1.教学实施管理</w:t>
      </w:r>
    </w:p>
    <w:p>
      <w:pPr>
        <w:pStyle w:val="99"/>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建立科学规范的教学管理规章制度，适应以人才培养目标为导向的课程要求，根据药剂专业自身的特点，突出校企“双主体”育人的理念，在教学过程中进行三方评价，及时监控与总结反馈，不断改进，注重理论与实践并重，培养专业技能强、职业素质高的技能型人才。</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2.教学资源管理</w:t>
      </w:r>
    </w:p>
    <w:p>
      <w:pPr>
        <w:pStyle w:val="99"/>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充分将校内外各项资源应用于专业教学。校内资源包括：专业课程的网站（中专智慧云）、超星学习平台、校内实训基地等；校外资源包括：合作企业、专业展会、行业比赛等。</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3.教学过程管理</w:t>
      </w:r>
    </w:p>
    <w:p>
      <w:pPr>
        <w:pStyle w:val="99"/>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从学生、企业、教师三方面抓好调研与反馈工作，实行教学过程的管理。在实习中期、实习期末学生至少进行2次以上的学生评价调研，其内容包括课程设置、教学满意度等；对学生的实习就业企业进行学生岗位适应性与发展潜力调研；对教师进行课堂与期终教学效果调研。将调研结果进行分析，把其作为对专业培养方案的修订和课程设置的参考依据。</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4.教学质量管理</w:t>
      </w:r>
    </w:p>
    <w:p>
      <w:pPr>
        <w:pStyle w:val="99"/>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olor w:val="000000"/>
          <w:sz w:val="28"/>
          <w:szCs w:val="28"/>
        </w:rPr>
        <w:t>由教务处、专业教研室对本专业的教学业务工作进行有计划、有组织的管理，并对教学以及实习过程的各个阶段和环节进行质量控制。使教学和实习有序进行。</w:t>
      </w:r>
    </w:p>
    <w:p>
      <w:pPr>
        <w:pStyle w:val="72"/>
        <w:numPr>
          <w:ilvl w:val="0"/>
          <w:numId w:val="4"/>
        </w:numPr>
        <w:ind w:left="0" w:leftChars="0" w:firstLine="0" w:firstLineChars="0"/>
      </w:pPr>
      <w:r>
        <w:t>毕业要求</w:t>
      </w:r>
    </w:p>
    <w:p>
      <w:pPr>
        <w:overflowPunct w:val="0"/>
        <w:adjustRightInd w:val="0"/>
        <w:ind w:firstLine="560" w:firstLineChars="200"/>
        <w:rPr>
          <w:rFonts w:ascii="黑体" w:hAnsi="黑体" w:eastAsia="黑体" w:cs="黑体"/>
          <w:sz w:val="28"/>
          <w:szCs w:val="28"/>
        </w:rPr>
      </w:pPr>
      <w:r>
        <w:rPr>
          <w:rFonts w:hint="eastAsia" w:ascii="宋体" w:hAnsi="宋体" w:eastAsia="宋体" w:cs="宋体"/>
          <w:sz w:val="28"/>
          <w:szCs w:val="28"/>
        </w:rPr>
        <w:t>本专业学生毕业须通过规定年限的学习并达到以下要求：</w:t>
      </w:r>
    </w:p>
    <w:p>
      <w:pPr>
        <w:overflowPunct w:val="0"/>
        <w:spacing w:line="360" w:lineRule="auto"/>
        <w:ind w:firstLine="560" w:firstLineChars="200"/>
        <w:contextualSpacing/>
        <w:rPr>
          <w:rFonts w:ascii="宋体" w:hAnsi="宋体" w:eastAsia="宋体"/>
          <w:color w:val="000000"/>
          <w:sz w:val="28"/>
          <w:szCs w:val="28"/>
        </w:rPr>
      </w:pPr>
      <w:r>
        <w:rPr>
          <w:rFonts w:hint="eastAsia" w:ascii="宋体" w:hAnsi="宋体" w:eastAsia="宋体"/>
          <w:color w:val="000000"/>
          <w:sz w:val="28"/>
          <w:szCs w:val="28"/>
        </w:rPr>
        <w:t>1.思想品德评价合格；</w:t>
      </w:r>
    </w:p>
    <w:p>
      <w:pPr>
        <w:overflowPunct w:val="0"/>
        <w:spacing w:line="360" w:lineRule="auto"/>
        <w:ind w:firstLine="560" w:firstLineChars="200"/>
        <w:contextualSpacing/>
        <w:rPr>
          <w:rFonts w:hint="eastAsia" w:ascii="宋体" w:hAnsi="宋体" w:eastAsia="宋体"/>
          <w:color w:val="000000"/>
          <w:sz w:val="28"/>
          <w:szCs w:val="28"/>
        </w:rPr>
      </w:pPr>
      <w:r>
        <w:rPr>
          <w:rFonts w:hint="eastAsia" w:ascii="宋体" w:hAnsi="宋体" w:eastAsia="宋体"/>
          <w:color w:val="000000"/>
          <w:sz w:val="28"/>
          <w:szCs w:val="28"/>
        </w:rPr>
        <w:t>2.修满</w:t>
      </w:r>
      <w:r>
        <w:rPr>
          <w:rFonts w:hint="eastAsia" w:ascii="宋体" w:hAnsi="宋体" w:eastAsia="宋体"/>
          <w:color w:val="000000"/>
          <w:sz w:val="28"/>
          <w:szCs w:val="28"/>
          <w:lang w:val="en-US" w:eastAsia="zh-CN"/>
        </w:rPr>
        <w:t>本专业</w:t>
      </w:r>
      <w:r>
        <w:rPr>
          <w:rFonts w:hint="eastAsia" w:ascii="宋体" w:hAnsi="宋体" w:eastAsia="宋体"/>
          <w:color w:val="000000"/>
          <w:sz w:val="28"/>
          <w:szCs w:val="28"/>
        </w:rPr>
        <w:t>人才培养方案规定学分；</w:t>
      </w:r>
    </w:p>
    <w:p>
      <w:pPr>
        <w:overflowPunct w:val="0"/>
        <w:spacing w:line="360" w:lineRule="auto"/>
        <w:ind w:firstLine="560" w:firstLineChars="200"/>
        <w:contextualSpacing/>
      </w:pPr>
      <w:r>
        <w:rPr>
          <w:rFonts w:hint="eastAsia" w:ascii="宋体" w:hAnsi="宋体" w:eastAsia="宋体"/>
          <w:color w:val="000000"/>
          <w:sz w:val="28"/>
          <w:szCs w:val="28"/>
        </w:rPr>
        <w:t>3.顶岗实习或工学交替实习鉴定合格；</w:t>
      </w:r>
    </w:p>
    <w:p>
      <w:pPr>
        <w:overflowPunct w:val="0"/>
        <w:spacing w:line="360" w:lineRule="auto"/>
        <w:ind w:firstLine="560" w:firstLineChars="200"/>
        <w:contextualSpacing/>
        <w:rPr>
          <w:rFonts w:ascii="宋体" w:hAnsi="宋体" w:eastAsia="宋体"/>
          <w:color w:val="000000"/>
          <w:sz w:val="28"/>
          <w:szCs w:val="28"/>
        </w:rPr>
      </w:pPr>
      <w:r>
        <w:rPr>
          <w:rFonts w:hint="eastAsia" w:ascii="宋体" w:hAnsi="宋体"/>
          <w:color w:val="000000"/>
          <w:sz w:val="28"/>
          <w:szCs w:val="28"/>
          <w:lang w:val="en-US" w:eastAsia="zh-CN"/>
        </w:rPr>
        <w:t>4</w:t>
      </w:r>
      <w:r>
        <w:rPr>
          <w:rFonts w:hint="eastAsia" w:ascii="宋体" w:hAnsi="宋体" w:eastAsia="宋体"/>
          <w:color w:val="000000"/>
          <w:sz w:val="28"/>
          <w:szCs w:val="28"/>
        </w:rPr>
        <w:t>.无未撤销的纪律处分；</w:t>
      </w:r>
    </w:p>
    <w:p>
      <w:pPr>
        <w:overflowPunct w:val="0"/>
        <w:spacing w:line="360" w:lineRule="auto"/>
        <w:ind w:firstLine="560" w:firstLineChars="200"/>
        <w:contextualSpacing/>
        <w:rPr>
          <w:rFonts w:hint="eastAsia" w:eastAsia="宋体"/>
          <w:lang w:eastAsia="zh-CN"/>
        </w:rPr>
      </w:pPr>
      <w:r>
        <w:rPr>
          <w:rFonts w:hint="eastAsia" w:ascii="宋体" w:hAnsi="宋体"/>
          <w:color w:val="000000"/>
          <w:sz w:val="28"/>
          <w:szCs w:val="28"/>
          <w:lang w:val="en-US" w:eastAsia="zh-CN"/>
        </w:rPr>
        <w:t>5</w:t>
      </w:r>
      <w:r>
        <w:rPr>
          <w:rFonts w:hint="eastAsia" w:ascii="宋体" w:hAnsi="宋体" w:eastAsia="宋体"/>
          <w:color w:val="000000"/>
          <w:sz w:val="28"/>
          <w:szCs w:val="28"/>
        </w:rPr>
        <w:t>.素养学分达到学校规定要求</w:t>
      </w:r>
      <w:r>
        <w:rPr>
          <w:rFonts w:hint="eastAsia" w:ascii="宋体" w:hAnsi="宋体" w:eastAsia="宋体"/>
          <w:color w:val="000000"/>
          <w:sz w:val="28"/>
          <w:szCs w:val="28"/>
          <w:lang w:eastAsia="zh-CN"/>
        </w:rPr>
        <w:t>。</w:t>
      </w:r>
    </w:p>
    <w:p>
      <w:pPr>
        <w:pStyle w:val="47"/>
        <w:ind w:firstLine="562"/>
      </w:pPr>
    </w:p>
    <w:p>
      <w:pPr>
        <w:pStyle w:val="72"/>
        <w:ind w:left="0" w:leftChars="0" w:firstLine="0" w:firstLineChars="0"/>
      </w:pPr>
      <w:bookmarkStart w:id="18" w:name="_Toc17537296"/>
      <w:r>
        <w:t>十、附录</w:t>
      </w:r>
      <w:bookmarkEnd w:id="18"/>
    </w:p>
    <w:p>
      <w:pPr>
        <w:overflowPunct w:val="0"/>
        <w:ind w:firstLine="562"/>
        <w:outlineLvl w:val="0"/>
        <w:rPr>
          <w:rFonts w:eastAsia="楷体_GB2312"/>
          <w:b/>
          <w:szCs w:val="32"/>
        </w:rPr>
      </w:pPr>
      <w:bookmarkStart w:id="19" w:name="_Toc17537298"/>
      <w:r>
        <w:rPr>
          <w:rFonts w:hint="eastAsia" w:eastAsia="楷体_GB2312"/>
          <w:b/>
          <w:szCs w:val="32"/>
        </w:rPr>
        <w:t>附录</w:t>
      </w:r>
      <w:r>
        <w:rPr>
          <w:rFonts w:hint="eastAsia" w:eastAsia="楷体_GB2312"/>
          <w:b/>
          <w:szCs w:val="32"/>
          <w:lang w:val="en-US" w:eastAsia="zh-CN"/>
        </w:rPr>
        <w:t>1</w:t>
      </w:r>
      <w:r>
        <w:rPr>
          <w:rFonts w:eastAsia="楷体_GB2312"/>
          <w:b/>
          <w:szCs w:val="32"/>
        </w:rPr>
        <w:t xml:space="preserve"> </w:t>
      </w:r>
      <w:r>
        <w:rPr>
          <w:rFonts w:hint="eastAsia" w:eastAsia="楷体_GB2312"/>
          <w:b/>
          <w:szCs w:val="32"/>
        </w:rPr>
        <w:t>教学计划变更审批表</w:t>
      </w:r>
      <w:bookmarkEnd w:id="19"/>
    </w:p>
    <w:p>
      <w:pPr>
        <w:ind w:firstLine="600"/>
        <w:jc w:val="center"/>
        <w:rPr>
          <w:rFonts w:eastAsia="黑体"/>
          <w:sz w:val="30"/>
        </w:rPr>
      </w:pPr>
      <w:r>
        <w:rPr>
          <w:rFonts w:hint="eastAsia" w:eastAsia="黑体"/>
          <w:sz w:val="30"/>
          <w:lang w:eastAsia="zh-CN"/>
        </w:rPr>
        <w:t>绍兴市中等专业</w:t>
      </w:r>
      <w:r>
        <w:rPr>
          <w:rFonts w:hint="eastAsia" w:eastAsia="黑体"/>
          <w:sz w:val="30"/>
        </w:rPr>
        <w:t>学校教学计划变更审批表</w:t>
      </w:r>
    </w:p>
    <w:p>
      <w:pPr>
        <w:ind w:firstLine="600"/>
        <w:jc w:val="center"/>
        <w:rPr>
          <w:rFonts w:ascii="黑体" w:eastAsia="黑体"/>
          <w:sz w:val="30"/>
        </w:rPr>
      </w:pPr>
      <w:r>
        <w:rPr>
          <w:rFonts w:ascii="黑体" w:eastAsia="黑体"/>
          <w:sz w:val="30"/>
          <w:u w:val="single"/>
        </w:rPr>
        <w:t xml:space="preserve">        </w:t>
      </w:r>
      <w:r>
        <w:rPr>
          <w:rFonts w:hint="eastAsia" w:ascii="黑体" w:eastAsia="黑体"/>
          <w:sz w:val="30"/>
        </w:rPr>
        <w:t>学年第</w:t>
      </w:r>
      <w:r>
        <w:rPr>
          <w:rFonts w:hint="eastAsia" w:ascii="黑体" w:eastAsia="黑体"/>
          <w:sz w:val="30"/>
          <w:u w:val="single"/>
        </w:rPr>
        <w:t xml:space="preserve">  </w:t>
      </w:r>
      <w:r>
        <w:rPr>
          <w:rFonts w:ascii="黑体" w:eastAsia="黑体"/>
          <w:sz w:val="30"/>
          <w:u w:val="single"/>
        </w:rPr>
        <w:t xml:space="preserve"> </w:t>
      </w:r>
      <w:r>
        <w:rPr>
          <w:rFonts w:hint="eastAsia" w:ascii="黑体" w:eastAsia="黑体"/>
          <w:sz w:val="30"/>
          <w:u w:val="single"/>
        </w:rPr>
        <w:t xml:space="preserve">  </w:t>
      </w:r>
      <w:r>
        <w:rPr>
          <w:rFonts w:hint="eastAsia" w:ascii="黑体" w:eastAsia="黑体"/>
          <w:sz w:val="30"/>
        </w:rPr>
        <w:t>学期</w:t>
      </w:r>
    </w:p>
    <w:tbl>
      <w:tblPr>
        <w:tblStyle w:val="23"/>
        <w:tblW w:w="9277" w:type="dxa"/>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440"/>
        <w:gridCol w:w="915"/>
        <w:gridCol w:w="1245"/>
        <w:gridCol w:w="1275"/>
        <w:gridCol w:w="7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系名称</w:t>
            </w:r>
          </w:p>
        </w:tc>
        <w:tc>
          <w:tcPr>
            <w:tcW w:w="235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252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专业班级（全称）</w:t>
            </w:r>
          </w:p>
        </w:tc>
        <w:tc>
          <w:tcPr>
            <w:tcW w:w="304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35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原计划</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课程名称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（全称）</w:t>
            </w:r>
          </w:p>
        </w:tc>
        <w:tc>
          <w:tcPr>
            <w:tcW w:w="216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198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计划学期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仿宋_GB2312"/>
                <w:sz w:val="21"/>
                <w:szCs w:val="21"/>
              </w:rPr>
            </w:pPr>
            <w:r>
              <w:rPr>
                <w:rFonts w:hint="eastAsia" w:ascii="仿宋_GB2312"/>
                <w:sz w:val="21"/>
                <w:szCs w:val="21"/>
              </w:rPr>
              <w:t>课程计划分布周</w:t>
            </w:r>
          </w:p>
        </w:tc>
        <w:tc>
          <w:tcPr>
            <w:tcW w:w="23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仿宋_GB2312"/>
                <w:sz w:val="21"/>
                <w:szCs w:val="21"/>
              </w:rPr>
            </w:pPr>
            <w:r>
              <w:rPr>
                <w:rFonts w:ascii="仿宋_GB2312"/>
                <w:sz w:val="21"/>
                <w:szCs w:val="21"/>
                <w:u w:val="single"/>
              </w:rPr>
              <w:t xml:space="preserve">      </w:t>
            </w:r>
            <w:r>
              <w:rPr>
                <w:rFonts w:hint="eastAsia" w:ascii="仿宋_GB2312"/>
                <w:sz w:val="21"/>
                <w:szCs w:val="21"/>
              </w:rPr>
              <w:t>学年第</w:t>
            </w:r>
            <w:r>
              <w:rPr>
                <w:rFonts w:ascii="仿宋_GB2312"/>
                <w:sz w:val="21"/>
                <w:szCs w:val="21"/>
                <w:u w:val="single"/>
              </w:rPr>
              <w:t xml:space="preserve"> </w:t>
            </w:r>
            <w:r>
              <w:rPr>
                <w:rFonts w:hint="eastAsia" w:ascii="仿宋_GB2312"/>
                <w:sz w:val="21"/>
                <w:szCs w:val="21"/>
                <w:u w:val="single"/>
                <w:lang w:val="en-US" w:eastAsia="zh-CN"/>
              </w:rPr>
              <w:t xml:space="preserve">  </w:t>
            </w:r>
            <w:r>
              <w:rPr>
                <w:rFonts w:hint="eastAsia" w:ascii="仿宋_GB2312"/>
                <w:sz w:val="21"/>
                <w:szCs w:val="21"/>
              </w:rPr>
              <w:t>学期 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3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计划总学时计划周学时</w:t>
            </w:r>
          </w:p>
        </w:tc>
        <w:tc>
          <w:tcPr>
            <w:tcW w:w="216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仿宋_GB2312"/>
                <w:sz w:val="21"/>
                <w:szCs w:val="21"/>
              </w:rPr>
            </w:pPr>
            <w:r>
              <w:rPr>
                <w:rFonts w:hint="eastAsia" w:ascii="仿宋_GB2312"/>
                <w:sz w:val="21"/>
                <w:szCs w:val="21"/>
              </w:rPr>
              <w:t>总学时</w:t>
            </w:r>
            <w:r>
              <w:rPr>
                <w:rFonts w:hint="eastAsia" w:ascii="仿宋_GB2312"/>
                <w:sz w:val="21"/>
                <w:szCs w:val="21"/>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仿宋_GB2312"/>
                <w:sz w:val="21"/>
                <w:szCs w:val="21"/>
                <w:u w:val="single"/>
              </w:rPr>
            </w:pPr>
            <w:r>
              <w:rPr>
                <w:rFonts w:hint="eastAsia" w:ascii="仿宋_GB2312"/>
                <w:sz w:val="21"/>
                <w:szCs w:val="21"/>
              </w:rPr>
              <w:t>周学时</w:t>
            </w:r>
            <w:r>
              <w:rPr>
                <w:rFonts w:hint="eastAsia" w:ascii="仿宋_GB2312"/>
                <w:sz w:val="21"/>
                <w:szCs w:val="21"/>
                <w:u w:val="single"/>
              </w:rPr>
              <w:t xml:space="preserve">     </w:t>
            </w:r>
          </w:p>
        </w:tc>
        <w:tc>
          <w:tcPr>
            <w:tcW w:w="198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任课教师</w:t>
            </w:r>
          </w:p>
        </w:tc>
        <w:tc>
          <w:tcPr>
            <w:tcW w:w="23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3"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变更原因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及内容（此表不够可另附说明材料）</w:t>
            </w:r>
          </w:p>
        </w:tc>
        <w:tc>
          <w:tcPr>
            <w:tcW w:w="7920" w:type="dxa"/>
            <w:gridSpan w:val="6"/>
            <w:vAlign w:val="center"/>
          </w:tcPr>
          <w:p>
            <w:pPr>
              <w:ind w:firstLine="420"/>
              <w:jc w:val="left"/>
              <w:rPr>
                <w:rFonts w:ascii="仿宋_GB2312"/>
                <w:sz w:val="21"/>
                <w:szCs w:val="21"/>
              </w:rPr>
            </w:pPr>
          </w:p>
          <w:p>
            <w:pPr>
              <w:ind w:left="0" w:leftChars="0" w:firstLine="0" w:firstLineChars="0"/>
              <w:jc w:val="left"/>
              <w:rPr>
                <w:rFonts w:ascii="仿宋_GB2312"/>
                <w:sz w:val="21"/>
                <w:szCs w:val="21"/>
              </w:rPr>
            </w:pPr>
          </w:p>
          <w:p>
            <w:pPr>
              <w:ind w:firstLine="420"/>
              <w:jc w:val="left"/>
              <w:rPr>
                <w:rFonts w:ascii="仿宋_GB2312"/>
                <w:sz w:val="21"/>
                <w:szCs w:val="21"/>
              </w:rPr>
            </w:pPr>
          </w:p>
          <w:p>
            <w:pPr>
              <w:ind w:firstLine="420"/>
              <w:jc w:val="center"/>
              <w:rPr>
                <w:rFonts w:ascii="仿宋_GB2312"/>
                <w:sz w:val="21"/>
                <w:szCs w:val="21"/>
              </w:rPr>
            </w:pPr>
            <w:r>
              <w:rPr>
                <w:rFonts w:hint="eastAsia" w:ascii="仿宋_GB2312"/>
                <w:sz w:val="21"/>
                <w:szCs w:val="21"/>
              </w:rPr>
              <w:t xml:space="preserve">    </w:t>
            </w:r>
          </w:p>
          <w:p>
            <w:pPr>
              <w:ind w:firstLine="420"/>
              <w:jc w:val="center"/>
              <w:rPr>
                <w:rFonts w:ascii="仿宋_GB2312"/>
                <w:sz w:val="21"/>
                <w:szCs w:val="21"/>
              </w:rPr>
            </w:pPr>
            <w:r>
              <w:rPr>
                <w:rFonts w:hint="eastAsia" w:ascii="仿宋_GB2312"/>
                <w:sz w:val="21"/>
                <w:szCs w:val="21"/>
              </w:rPr>
              <w:t xml:space="preserve">                       教研室主任签名：</w:t>
            </w:r>
          </w:p>
          <w:p>
            <w:pPr>
              <w:tabs>
                <w:tab w:val="left" w:pos="5472"/>
              </w:tabs>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教学管理小组意见</w:t>
            </w:r>
          </w:p>
        </w:tc>
        <w:tc>
          <w:tcPr>
            <w:tcW w:w="7920" w:type="dxa"/>
            <w:gridSpan w:val="6"/>
            <w:vAlign w:val="center"/>
          </w:tcPr>
          <w:p>
            <w:pPr>
              <w:ind w:firstLine="420"/>
              <w:jc w:val="center"/>
              <w:rPr>
                <w:rFonts w:ascii="仿宋_GB2312"/>
                <w:sz w:val="21"/>
                <w:szCs w:val="21"/>
              </w:rPr>
            </w:pPr>
          </w:p>
          <w:p>
            <w:pPr>
              <w:ind w:firstLine="420"/>
              <w:jc w:val="center"/>
              <w:rPr>
                <w:rFonts w:ascii="仿宋_GB2312"/>
                <w:sz w:val="21"/>
                <w:szCs w:val="21"/>
              </w:rPr>
            </w:pPr>
          </w:p>
          <w:p>
            <w:pPr>
              <w:ind w:firstLine="420"/>
              <w:jc w:val="center"/>
              <w:rPr>
                <w:rFonts w:ascii="仿宋_GB2312"/>
                <w:sz w:val="21"/>
                <w:szCs w:val="21"/>
              </w:rPr>
            </w:pPr>
            <w:r>
              <w:rPr>
                <w:rFonts w:hint="eastAsia" w:ascii="仿宋_GB2312"/>
                <w:sz w:val="21"/>
                <w:szCs w:val="21"/>
              </w:rPr>
              <w:t xml:space="preserve">                               系主任签名：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教务处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意见</w:t>
            </w:r>
          </w:p>
        </w:tc>
        <w:tc>
          <w:tcPr>
            <w:tcW w:w="7920" w:type="dxa"/>
            <w:gridSpan w:val="6"/>
            <w:vAlign w:val="center"/>
          </w:tcPr>
          <w:p>
            <w:pPr>
              <w:ind w:left="0" w:leftChars="0" w:firstLine="0" w:firstLineChars="0"/>
              <w:jc w:val="both"/>
              <w:rPr>
                <w:rFonts w:ascii="仿宋_GB2312"/>
                <w:sz w:val="21"/>
                <w:szCs w:val="21"/>
              </w:rPr>
            </w:pPr>
          </w:p>
          <w:p>
            <w:pPr>
              <w:ind w:firstLine="420"/>
              <w:jc w:val="center"/>
              <w:rPr>
                <w:rFonts w:ascii="仿宋_GB2312"/>
                <w:sz w:val="21"/>
                <w:szCs w:val="21"/>
              </w:rPr>
            </w:pPr>
          </w:p>
          <w:p>
            <w:pPr>
              <w:ind w:firstLine="420"/>
              <w:jc w:val="both"/>
              <w:rPr>
                <w:rFonts w:ascii="仿宋_GB2312"/>
                <w:sz w:val="21"/>
                <w:szCs w:val="21"/>
              </w:rPr>
            </w:pPr>
            <w:r>
              <w:rPr>
                <w:rFonts w:hint="eastAsia" w:ascii="仿宋_GB2312"/>
                <w:sz w:val="21"/>
                <w:szCs w:val="21"/>
              </w:rPr>
              <w:t xml:space="preserve">                                   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校学术委员会意见</w:t>
            </w:r>
          </w:p>
        </w:tc>
        <w:tc>
          <w:tcPr>
            <w:tcW w:w="7920" w:type="dxa"/>
            <w:gridSpan w:val="6"/>
            <w:vAlign w:val="center"/>
          </w:tcPr>
          <w:p>
            <w:pPr>
              <w:ind w:firstLine="420"/>
              <w:rPr>
                <w:rFonts w:ascii="仿宋_GB2312"/>
                <w:sz w:val="21"/>
                <w:szCs w:val="21"/>
              </w:rPr>
            </w:pPr>
          </w:p>
          <w:p>
            <w:pPr>
              <w:ind w:firstLine="420"/>
              <w:jc w:val="center"/>
              <w:rPr>
                <w:rFonts w:ascii="仿宋_GB2312"/>
                <w:sz w:val="21"/>
                <w:szCs w:val="21"/>
              </w:rPr>
            </w:pPr>
            <w:r>
              <w:rPr>
                <w:rFonts w:hint="eastAsia" w:ascii="仿宋_GB2312"/>
                <w:sz w:val="21"/>
                <w:szCs w:val="21"/>
              </w:rPr>
              <w:t xml:space="preserve">                               主任签名：</w:t>
            </w:r>
          </w:p>
          <w:p>
            <w:pPr>
              <w:ind w:firstLine="420"/>
              <w:jc w:val="center"/>
              <w:rPr>
                <w:rFonts w:ascii="仿宋_GB2312"/>
                <w:sz w:val="21"/>
                <w:szCs w:val="21"/>
              </w:rPr>
            </w:pPr>
            <w:r>
              <w:rPr>
                <w:rFonts w:hint="eastAsia" w:ascii="仿宋_GB2312"/>
                <w:sz w:val="21"/>
                <w:szCs w:val="21"/>
              </w:rPr>
              <w:t xml:space="preserve">                                                    年   月   日</w:t>
            </w:r>
          </w:p>
        </w:tc>
      </w:tr>
    </w:tbl>
    <w:p>
      <w:pPr>
        <w:ind w:firstLine="420"/>
        <w:rPr>
          <w:rFonts w:ascii="黑体" w:eastAsia="黑体"/>
          <w:sz w:val="21"/>
          <w:szCs w:val="21"/>
        </w:rPr>
      </w:pPr>
      <w:r>
        <w:rPr>
          <w:rFonts w:hint="eastAsia" w:ascii="黑体" w:eastAsia="黑体"/>
          <w:sz w:val="21"/>
          <w:szCs w:val="21"/>
        </w:rPr>
        <w:t>备注：本表一式两份填报，经批准后，一份在系存档，一份在教务处存档。</w:t>
      </w:r>
    </w:p>
    <w:p>
      <w:pPr>
        <w:ind w:left="0" w:leftChars="0" w:firstLine="0" w:firstLineChars="0"/>
        <w:rPr>
          <w:rFonts w:ascii="黑体" w:eastAsia="黑体"/>
          <w:sz w:val="21"/>
          <w:szCs w:val="21"/>
        </w:rPr>
      </w:pPr>
    </w:p>
    <w:sectPr>
      <w:headerReference r:id="rId5" w:type="default"/>
      <w:footerReference r:id="rId6" w:type="default"/>
      <w:pgSz w:w="11906" w:h="16838"/>
      <w:pgMar w:top="1440" w:right="1463" w:bottom="1440" w:left="1519"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776F2E-E034-4380-B64F-A23B9077F750}"/>
  </w:font>
  <w:font w:name="Arial">
    <w:panose1 w:val="020B0604020202020204"/>
    <w:charset w:val="01"/>
    <w:family w:val="swiss"/>
    <w:pitch w:val="default"/>
    <w:sig w:usb0="E0002AFF" w:usb1="C0007843" w:usb2="00000009" w:usb3="00000000" w:csb0="400001FF" w:csb1="FFFF0000"/>
    <w:embedRegular r:id="rId2" w:fontKey="{24331A9C-F932-40FD-9F7E-8369E7E70808}"/>
  </w:font>
  <w:font w:name="黑体">
    <w:panose1 w:val="02010609060101010101"/>
    <w:charset w:val="86"/>
    <w:family w:val="auto"/>
    <w:pitch w:val="default"/>
    <w:sig w:usb0="800002BF" w:usb1="38CF7CFA" w:usb2="00000016" w:usb3="00000000" w:csb0="00040001" w:csb1="00000000"/>
    <w:embedRegular r:id="rId3" w:fontKey="{263F18A3-0BD9-47EA-B426-7FC04CAFCD36}"/>
  </w:font>
  <w:font w:name="Courier New">
    <w:panose1 w:val="02070309020205020404"/>
    <w:charset w:val="01"/>
    <w:family w:val="modern"/>
    <w:pitch w:val="default"/>
    <w:sig w:usb0="E0002AFF" w:usb1="C0007843" w:usb2="00000009" w:usb3="00000000" w:csb0="400001FF" w:csb1="FFFF0000"/>
    <w:embedRegular r:id="rId4" w:fontKey="{967B2BA6-1BBC-40FE-BD40-D612F03D6A52}"/>
  </w:font>
  <w:font w:name="Symbol">
    <w:panose1 w:val="05050102010706020507"/>
    <w:charset w:val="02"/>
    <w:family w:val="roman"/>
    <w:pitch w:val="default"/>
    <w:sig w:usb0="00000000" w:usb1="00000000" w:usb2="00000000" w:usb3="00000000" w:csb0="80000000" w:csb1="00000000"/>
    <w:embedRegular r:id="rId5" w:fontKey="{B07227CA-7538-4C03-8EA6-016A52271AFB}"/>
  </w:font>
  <w:font w:name="Calibri">
    <w:panose1 w:val="020F0502020204030204"/>
    <w:charset w:val="00"/>
    <w:family w:val="swiss"/>
    <w:pitch w:val="default"/>
    <w:sig w:usb0="E00002FF" w:usb1="4000ACFF" w:usb2="00000001" w:usb3="00000000" w:csb0="2000019F" w:csb1="00000000"/>
    <w:embedRegular r:id="rId6" w:fontKey="{6AC8FCA5-3B2B-42C5-9DD9-C8E7E3DCBFF1}"/>
  </w:font>
  <w:font w:name="Cambria">
    <w:panose1 w:val="02040503050406030204"/>
    <w:charset w:val="00"/>
    <w:family w:val="roman"/>
    <w:pitch w:val="default"/>
    <w:sig w:usb0="E00002FF" w:usb1="400004FF" w:usb2="00000000" w:usb3="00000000" w:csb0="2000019F" w:csb1="00000000"/>
    <w:embedRegular r:id="rId7" w:fontKey="{1722F4C6-3965-494A-B109-6A0EB09B7EC0}"/>
  </w:font>
  <w:font w:name="仿宋_GB2312">
    <w:altName w:val="仿宋"/>
    <w:panose1 w:val="02010609030101010101"/>
    <w:charset w:val="86"/>
    <w:family w:val="modern"/>
    <w:pitch w:val="default"/>
    <w:sig w:usb0="00000000" w:usb1="00000000" w:usb2="00000010" w:usb3="00000000" w:csb0="00040000" w:csb1="00000000"/>
    <w:embedRegular r:id="rId8" w:fontKey="{5035BA35-ECC9-4769-8E00-E0F52143070A}"/>
  </w:font>
  <w:font w:name="仿宋">
    <w:panose1 w:val="02010609060101010101"/>
    <w:charset w:val="86"/>
    <w:family w:val="auto"/>
    <w:pitch w:val="default"/>
    <w:sig w:usb0="800002BF" w:usb1="38CF7CFA" w:usb2="00000016" w:usb3="00000000" w:csb0="00040001" w:csb1="00000000"/>
  </w:font>
  <w:font w:name="方正书宋简体">
    <w:altName w:val="宋体"/>
    <w:panose1 w:val="00000000000000000000"/>
    <w:charset w:val="86"/>
    <w:family w:val="script"/>
    <w:pitch w:val="default"/>
    <w:sig w:usb0="00000000" w:usb1="00000000" w:usb2="00000010" w:usb3="00000000" w:csb0="00040000" w:csb1="00000000"/>
  </w:font>
  <w:font w:name="方正兰亭黑简体">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9" w:fontKey="{245DD319-1E00-49B9-AA61-AE3008065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2D55B0"/>
    <w:multiLevelType w:val="singleLevel"/>
    <w:tmpl w:val="B52D55B0"/>
    <w:lvl w:ilvl="0" w:tentative="0">
      <w:start w:val="5"/>
      <w:numFmt w:val="chineseCounting"/>
      <w:suff w:val="nothing"/>
      <w:lvlText w:val="（%1）"/>
      <w:lvlJc w:val="left"/>
      <w:rPr>
        <w:rFonts w:hint="eastAsia"/>
      </w:rPr>
    </w:lvl>
  </w:abstractNum>
  <w:abstractNum w:abstractNumId="1">
    <w:nsid w:val="DB6E7F05"/>
    <w:multiLevelType w:val="singleLevel"/>
    <w:tmpl w:val="DB6E7F05"/>
    <w:lvl w:ilvl="0" w:tentative="0">
      <w:start w:val="7"/>
      <w:numFmt w:val="chineseCounting"/>
      <w:suff w:val="nothing"/>
      <w:lvlText w:val="%1、"/>
      <w:lvlJc w:val="left"/>
      <w:rPr>
        <w:rFonts w:hint="eastAsia"/>
      </w:rPr>
    </w:lvl>
  </w:abstractNum>
  <w:abstractNum w:abstractNumId="2">
    <w:nsid w:val="3D3017EA"/>
    <w:multiLevelType w:val="singleLevel"/>
    <w:tmpl w:val="3D3017EA"/>
    <w:lvl w:ilvl="0" w:tentative="0">
      <w:start w:val="9"/>
      <w:numFmt w:val="chineseCounting"/>
      <w:suff w:val="nothing"/>
      <w:lvlText w:val="%1、"/>
      <w:lvlJc w:val="left"/>
      <w:rPr>
        <w:rFonts w:hint="eastAsia"/>
      </w:rPr>
    </w:lvl>
  </w:abstractNum>
  <w:abstractNum w:abstractNumId="3">
    <w:nsid w:val="529AA76B"/>
    <w:multiLevelType w:val="singleLevel"/>
    <w:tmpl w:val="529AA76B"/>
    <w:lvl w:ilvl="0" w:tentative="0">
      <w:start w:val="2"/>
      <w:numFmt w:val="chineseCounting"/>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C2"/>
    <w:rsid w:val="00007958"/>
    <w:rsid w:val="00010C96"/>
    <w:rsid w:val="00021129"/>
    <w:rsid w:val="0002652D"/>
    <w:rsid w:val="00030480"/>
    <w:rsid w:val="0004313C"/>
    <w:rsid w:val="00047600"/>
    <w:rsid w:val="00052BDB"/>
    <w:rsid w:val="00055C92"/>
    <w:rsid w:val="00056DDB"/>
    <w:rsid w:val="00057EB4"/>
    <w:rsid w:val="00064813"/>
    <w:rsid w:val="00091619"/>
    <w:rsid w:val="00093603"/>
    <w:rsid w:val="000A460D"/>
    <w:rsid w:val="000A46CA"/>
    <w:rsid w:val="000B628D"/>
    <w:rsid w:val="000B7CF4"/>
    <w:rsid w:val="000B7F3E"/>
    <w:rsid w:val="000C1E0C"/>
    <w:rsid w:val="000D0441"/>
    <w:rsid w:val="000D5277"/>
    <w:rsid w:val="000E239A"/>
    <w:rsid w:val="000F6430"/>
    <w:rsid w:val="00101AA4"/>
    <w:rsid w:val="00106C7F"/>
    <w:rsid w:val="00107A47"/>
    <w:rsid w:val="00110F4A"/>
    <w:rsid w:val="0011363D"/>
    <w:rsid w:val="00115F49"/>
    <w:rsid w:val="0011785B"/>
    <w:rsid w:val="00117CB1"/>
    <w:rsid w:val="0012133B"/>
    <w:rsid w:val="00126917"/>
    <w:rsid w:val="00141284"/>
    <w:rsid w:val="0015521F"/>
    <w:rsid w:val="00155393"/>
    <w:rsid w:val="001561C7"/>
    <w:rsid w:val="001612D1"/>
    <w:rsid w:val="001633CD"/>
    <w:rsid w:val="00163D50"/>
    <w:rsid w:val="00165E98"/>
    <w:rsid w:val="001661FF"/>
    <w:rsid w:val="00167E31"/>
    <w:rsid w:val="001732FA"/>
    <w:rsid w:val="00173E59"/>
    <w:rsid w:val="001A0990"/>
    <w:rsid w:val="001A3523"/>
    <w:rsid w:val="001B26D2"/>
    <w:rsid w:val="001B7818"/>
    <w:rsid w:val="001D0A9E"/>
    <w:rsid w:val="001D64FE"/>
    <w:rsid w:val="001D69BA"/>
    <w:rsid w:val="001E6631"/>
    <w:rsid w:val="001F46D1"/>
    <w:rsid w:val="002145A9"/>
    <w:rsid w:val="00224A13"/>
    <w:rsid w:val="00230A8A"/>
    <w:rsid w:val="002348D3"/>
    <w:rsid w:val="00242832"/>
    <w:rsid w:val="0024707B"/>
    <w:rsid w:val="002521CD"/>
    <w:rsid w:val="002756C2"/>
    <w:rsid w:val="002863E6"/>
    <w:rsid w:val="00291486"/>
    <w:rsid w:val="00292D62"/>
    <w:rsid w:val="00294AAA"/>
    <w:rsid w:val="002A31CD"/>
    <w:rsid w:val="002A5452"/>
    <w:rsid w:val="002B6522"/>
    <w:rsid w:val="002C0480"/>
    <w:rsid w:val="002E07FD"/>
    <w:rsid w:val="002E08EA"/>
    <w:rsid w:val="00302300"/>
    <w:rsid w:val="00302536"/>
    <w:rsid w:val="003077EB"/>
    <w:rsid w:val="00326A0F"/>
    <w:rsid w:val="00330000"/>
    <w:rsid w:val="00336753"/>
    <w:rsid w:val="003371C0"/>
    <w:rsid w:val="003409DD"/>
    <w:rsid w:val="00344D5F"/>
    <w:rsid w:val="00354544"/>
    <w:rsid w:val="00364E8F"/>
    <w:rsid w:val="00373BE1"/>
    <w:rsid w:val="00393C2F"/>
    <w:rsid w:val="003B6E71"/>
    <w:rsid w:val="003C2BAD"/>
    <w:rsid w:val="003D02D8"/>
    <w:rsid w:val="003D6921"/>
    <w:rsid w:val="003F13A7"/>
    <w:rsid w:val="003F381A"/>
    <w:rsid w:val="00400C08"/>
    <w:rsid w:val="00427045"/>
    <w:rsid w:val="00436797"/>
    <w:rsid w:val="00442514"/>
    <w:rsid w:val="00446704"/>
    <w:rsid w:val="00461F8C"/>
    <w:rsid w:val="0046536E"/>
    <w:rsid w:val="0046653F"/>
    <w:rsid w:val="00483481"/>
    <w:rsid w:val="004A14B8"/>
    <w:rsid w:val="004A5FC0"/>
    <w:rsid w:val="004F1DE3"/>
    <w:rsid w:val="004F23DB"/>
    <w:rsid w:val="005055A7"/>
    <w:rsid w:val="00515431"/>
    <w:rsid w:val="00516810"/>
    <w:rsid w:val="0053557B"/>
    <w:rsid w:val="00551228"/>
    <w:rsid w:val="00552D74"/>
    <w:rsid w:val="00557A8C"/>
    <w:rsid w:val="0057760C"/>
    <w:rsid w:val="00597744"/>
    <w:rsid w:val="005A19CF"/>
    <w:rsid w:val="005A1CD2"/>
    <w:rsid w:val="005A5D91"/>
    <w:rsid w:val="005B0170"/>
    <w:rsid w:val="005B3B8D"/>
    <w:rsid w:val="005B62B7"/>
    <w:rsid w:val="005B708E"/>
    <w:rsid w:val="005C7277"/>
    <w:rsid w:val="005C7FA4"/>
    <w:rsid w:val="005D04ED"/>
    <w:rsid w:val="005D4709"/>
    <w:rsid w:val="005E3B23"/>
    <w:rsid w:val="005E6C5C"/>
    <w:rsid w:val="005E715A"/>
    <w:rsid w:val="005E7CBC"/>
    <w:rsid w:val="0063643D"/>
    <w:rsid w:val="00636F1F"/>
    <w:rsid w:val="00654BA5"/>
    <w:rsid w:val="006551BD"/>
    <w:rsid w:val="00655ACD"/>
    <w:rsid w:val="006607A7"/>
    <w:rsid w:val="00665FEE"/>
    <w:rsid w:val="0066711C"/>
    <w:rsid w:val="0067154E"/>
    <w:rsid w:val="00671BFC"/>
    <w:rsid w:val="0067796B"/>
    <w:rsid w:val="00695FD6"/>
    <w:rsid w:val="006A78F0"/>
    <w:rsid w:val="006C17F8"/>
    <w:rsid w:val="006D15A0"/>
    <w:rsid w:val="006D5D39"/>
    <w:rsid w:val="006E2508"/>
    <w:rsid w:val="00701E94"/>
    <w:rsid w:val="0070742C"/>
    <w:rsid w:val="00724D5F"/>
    <w:rsid w:val="00730328"/>
    <w:rsid w:val="00735E21"/>
    <w:rsid w:val="00741D22"/>
    <w:rsid w:val="007521C7"/>
    <w:rsid w:val="007535FB"/>
    <w:rsid w:val="00757B2B"/>
    <w:rsid w:val="00760830"/>
    <w:rsid w:val="00763798"/>
    <w:rsid w:val="007717CB"/>
    <w:rsid w:val="00772E33"/>
    <w:rsid w:val="00785620"/>
    <w:rsid w:val="007968E9"/>
    <w:rsid w:val="007A2A0B"/>
    <w:rsid w:val="007A5B6D"/>
    <w:rsid w:val="007C086A"/>
    <w:rsid w:val="007C2588"/>
    <w:rsid w:val="007C7247"/>
    <w:rsid w:val="007D6D67"/>
    <w:rsid w:val="007F0D7C"/>
    <w:rsid w:val="007F13A0"/>
    <w:rsid w:val="007F6850"/>
    <w:rsid w:val="00801B6E"/>
    <w:rsid w:val="008149C1"/>
    <w:rsid w:val="00837534"/>
    <w:rsid w:val="00837FD4"/>
    <w:rsid w:val="00840916"/>
    <w:rsid w:val="0084720A"/>
    <w:rsid w:val="00862B06"/>
    <w:rsid w:val="00875632"/>
    <w:rsid w:val="00875E42"/>
    <w:rsid w:val="00876DFF"/>
    <w:rsid w:val="008874CF"/>
    <w:rsid w:val="008B2D79"/>
    <w:rsid w:val="008C4FA7"/>
    <w:rsid w:val="008D17FE"/>
    <w:rsid w:val="008E2F00"/>
    <w:rsid w:val="008F05F9"/>
    <w:rsid w:val="008F7DE0"/>
    <w:rsid w:val="00910B95"/>
    <w:rsid w:val="0091288C"/>
    <w:rsid w:val="00957221"/>
    <w:rsid w:val="00965340"/>
    <w:rsid w:val="009741FB"/>
    <w:rsid w:val="0098370A"/>
    <w:rsid w:val="00990E6F"/>
    <w:rsid w:val="009914DC"/>
    <w:rsid w:val="00991D34"/>
    <w:rsid w:val="00993B8A"/>
    <w:rsid w:val="009A019C"/>
    <w:rsid w:val="009A683C"/>
    <w:rsid w:val="009C3CD1"/>
    <w:rsid w:val="009C5653"/>
    <w:rsid w:val="009D0FD5"/>
    <w:rsid w:val="009D6544"/>
    <w:rsid w:val="009D6D19"/>
    <w:rsid w:val="009D6F47"/>
    <w:rsid w:val="009E3A27"/>
    <w:rsid w:val="009F22D9"/>
    <w:rsid w:val="00A1029D"/>
    <w:rsid w:val="00A15561"/>
    <w:rsid w:val="00A15C80"/>
    <w:rsid w:val="00A2112D"/>
    <w:rsid w:val="00A24531"/>
    <w:rsid w:val="00A27F78"/>
    <w:rsid w:val="00A32EE9"/>
    <w:rsid w:val="00A40343"/>
    <w:rsid w:val="00A50213"/>
    <w:rsid w:val="00A50DE8"/>
    <w:rsid w:val="00A53707"/>
    <w:rsid w:val="00A64A18"/>
    <w:rsid w:val="00A670B7"/>
    <w:rsid w:val="00A7570B"/>
    <w:rsid w:val="00A83709"/>
    <w:rsid w:val="00A86815"/>
    <w:rsid w:val="00A905A0"/>
    <w:rsid w:val="00A935FE"/>
    <w:rsid w:val="00AB0929"/>
    <w:rsid w:val="00AB6590"/>
    <w:rsid w:val="00AC4CBC"/>
    <w:rsid w:val="00AE330A"/>
    <w:rsid w:val="00AE5298"/>
    <w:rsid w:val="00AF15AB"/>
    <w:rsid w:val="00B30BFB"/>
    <w:rsid w:val="00B44A49"/>
    <w:rsid w:val="00B53A80"/>
    <w:rsid w:val="00B57179"/>
    <w:rsid w:val="00B715DB"/>
    <w:rsid w:val="00B72278"/>
    <w:rsid w:val="00B77934"/>
    <w:rsid w:val="00B82593"/>
    <w:rsid w:val="00B82720"/>
    <w:rsid w:val="00B82F41"/>
    <w:rsid w:val="00BA06F6"/>
    <w:rsid w:val="00BA1F9F"/>
    <w:rsid w:val="00BA763B"/>
    <w:rsid w:val="00BB19C1"/>
    <w:rsid w:val="00BB3345"/>
    <w:rsid w:val="00BB562A"/>
    <w:rsid w:val="00BC38EF"/>
    <w:rsid w:val="00BD694F"/>
    <w:rsid w:val="00BE7363"/>
    <w:rsid w:val="00BF3D93"/>
    <w:rsid w:val="00C03F71"/>
    <w:rsid w:val="00C12BDC"/>
    <w:rsid w:val="00C13A3B"/>
    <w:rsid w:val="00C20741"/>
    <w:rsid w:val="00C22F49"/>
    <w:rsid w:val="00C43C9E"/>
    <w:rsid w:val="00C52E02"/>
    <w:rsid w:val="00C535B0"/>
    <w:rsid w:val="00C625DC"/>
    <w:rsid w:val="00C82873"/>
    <w:rsid w:val="00C8430B"/>
    <w:rsid w:val="00C86B75"/>
    <w:rsid w:val="00C86D8F"/>
    <w:rsid w:val="00C95F8E"/>
    <w:rsid w:val="00C97F8C"/>
    <w:rsid w:val="00CA38FF"/>
    <w:rsid w:val="00CB244D"/>
    <w:rsid w:val="00CB3A3B"/>
    <w:rsid w:val="00CC3C90"/>
    <w:rsid w:val="00CD2AC4"/>
    <w:rsid w:val="00CE6059"/>
    <w:rsid w:val="00CE7D52"/>
    <w:rsid w:val="00CF2E8D"/>
    <w:rsid w:val="00CF4337"/>
    <w:rsid w:val="00CF4823"/>
    <w:rsid w:val="00D0781D"/>
    <w:rsid w:val="00D2718A"/>
    <w:rsid w:val="00D304D0"/>
    <w:rsid w:val="00D37E26"/>
    <w:rsid w:val="00D431EF"/>
    <w:rsid w:val="00D7106A"/>
    <w:rsid w:val="00D72D24"/>
    <w:rsid w:val="00D80562"/>
    <w:rsid w:val="00D95FE2"/>
    <w:rsid w:val="00DA2BAF"/>
    <w:rsid w:val="00DA6307"/>
    <w:rsid w:val="00DB1AB2"/>
    <w:rsid w:val="00DB57C6"/>
    <w:rsid w:val="00DB6B8F"/>
    <w:rsid w:val="00DD0185"/>
    <w:rsid w:val="00DE1B35"/>
    <w:rsid w:val="00DE66B8"/>
    <w:rsid w:val="00DF2AA9"/>
    <w:rsid w:val="00E473E9"/>
    <w:rsid w:val="00E52D09"/>
    <w:rsid w:val="00E5383F"/>
    <w:rsid w:val="00E61528"/>
    <w:rsid w:val="00E65E73"/>
    <w:rsid w:val="00EA4391"/>
    <w:rsid w:val="00EA58A7"/>
    <w:rsid w:val="00EA65C3"/>
    <w:rsid w:val="00EA75CC"/>
    <w:rsid w:val="00EA791B"/>
    <w:rsid w:val="00EB1636"/>
    <w:rsid w:val="00EB2131"/>
    <w:rsid w:val="00EB51DC"/>
    <w:rsid w:val="00EC188A"/>
    <w:rsid w:val="00EC662D"/>
    <w:rsid w:val="00EE44F5"/>
    <w:rsid w:val="00EE457E"/>
    <w:rsid w:val="00EF4EA1"/>
    <w:rsid w:val="00F00645"/>
    <w:rsid w:val="00F01B6F"/>
    <w:rsid w:val="00F06B1E"/>
    <w:rsid w:val="00F14EC2"/>
    <w:rsid w:val="00F15052"/>
    <w:rsid w:val="00F219FB"/>
    <w:rsid w:val="00F21B3C"/>
    <w:rsid w:val="00F23D01"/>
    <w:rsid w:val="00F30DA4"/>
    <w:rsid w:val="00F4022C"/>
    <w:rsid w:val="00F44B76"/>
    <w:rsid w:val="00F60BFA"/>
    <w:rsid w:val="00F75A09"/>
    <w:rsid w:val="00F8290D"/>
    <w:rsid w:val="00F8341F"/>
    <w:rsid w:val="00F864B0"/>
    <w:rsid w:val="00F969CE"/>
    <w:rsid w:val="00FA74D5"/>
    <w:rsid w:val="00FB4572"/>
    <w:rsid w:val="00FB56DD"/>
    <w:rsid w:val="00FB603D"/>
    <w:rsid w:val="00FC460F"/>
    <w:rsid w:val="00FD1C40"/>
    <w:rsid w:val="00FD1FF7"/>
    <w:rsid w:val="00FE0216"/>
    <w:rsid w:val="00FF4069"/>
    <w:rsid w:val="04316CEC"/>
    <w:rsid w:val="05A27F69"/>
    <w:rsid w:val="06082BC6"/>
    <w:rsid w:val="073613A5"/>
    <w:rsid w:val="0778214B"/>
    <w:rsid w:val="07805544"/>
    <w:rsid w:val="082A661C"/>
    <w:rsid w:val="08C92E02"/>
    <w:rsid w:val="09164B93"/>
    <w:rsid w:val="0AEF2F6A"/>
    <w:rsid w:val="0BD60336"/>
    <w:rsid w:val="0D355529"/>
    <w:rsid w:val="11D423D4"/>
    <w:rsid w:val="13327D44"/>
    <w:rsid w:val="13E451C6"/>
    <w:rsid w:val="148329FB"/>
    <w:rsid w:val="152A7781"/>
    <w:rsid w:val="155A3ACA"/>
    <w:rsid w:val="15CD59BC"/>
    <w:rsid w:val="171C36DD"/>
    <w:rsid w:val="19C968FD"/>
    <w:rsid w:val="1A695DE4"/>
    <w:rsid w:val="1AB14330"/>
    <w:rsid w:val="1BFC9E46"/>
    <w:rsid w:val="1C173580"/>
    <w:rsid w:val="1C2F19D2"/>
    <w:rsid w:val="1D456E1F"/>
    <w:rsid w:val="1DEA297D"/>
    <w:rsid w:val="1E701FA5"/>
    <w:rsid w:val="1FE45F3C"/>
    <w:rsid w:val="24DF6949"/>
    <w:rsid w:val="25150FAB"/>
    <w:rsid w:val="26B21EF6"/>
    <w:rsid w:val="285B1577"/>
    <w:rsid w:val="291F1CAC"/>
    <w:rsid w:val="296E3495"/>
    <w:rsid w:val="29D86BB8"/>
    <w:rsid w:val="2A8D1A79"/>
    <w:rsid w:val="2B475D00"/>
    <w:rsid w:val="2C576596"/>
    <w:rsid w:val="2D026F72"/>
    <w:rsid w:val="2E806FE6"/>
    <w:rsid w:val="2EF527AF"/>
    <w:rsid w:val="2F5C030B"/>
    <w:rsid w:val="2F8E42C7"/>
    <w:rsid w:val="31B35911"/>
    <w:rsid w:val="31CA2E56"/>
    <w:rsid w:val="35151416"/>
    <w:rsid w:val="35EE4A8F"/>
    <w:rsid w:val="36F00B92"/>
    <w:rsid w:val="37193922"/>
    <w:rsid w:val="385703E0"/>
    <w:rsid w:val="38573024"/>
    <w:rsid w:val="38C25A49"/>
    <w:rsid w:val="3AC834DC"/>
    <w:rsid w:val="3DDE4FA8"/>
    <w:rsid w:val="3E453F50"/>
    <w:rsid w:val="3EFB84F5"/>
    <w:rsid w:val="3F191997"/>
    <w:rsid w:val="3F631078"/>
    <w:rsid w:val="3FF8F774"/>
    <w:rsid w:val="402941EE"/>
    <w:rsid w:val="40593161"/>
    <w:rsid w:val="407B78F2"/>
    <w:rsid w:val="43437CC5"/>
    <w:rsid w:val="45153249"/>
    <w:rsid w:val="45826A7C"/>
    <w:rsid w:val="47B96EB6"/>
    <w:rsid w:val="47D27239"/>
    <w:rsid w:val="48081221"/>
    <w:rsid w:val="49F205BA"/>
    <w:rsid w:val="4D697B02"/>
    <w:rsid w:val="4D890B58"/>
    <w:rsid w:val="4DA92451"/>
    <w:rsid w:val="5033386E"/>
    <w:rsid w:val="50826336"/>
    <w:rsid w:val="51C8024A"/>
    <w:rsid w:val="52244046"/>
    <w:rsid w:val="540C0D16"/>
    <w:rsid w:val="5669760B"/>
    <w:rsid w:val="56E51092"/>
    <w:rsid w:val="579C3F18"/>
    <w:rsid w:val="588B524D"/>
    <w:rsid w:val="5AD63BC8"/>
    <w:rsid w:val="5BFBFDC9"/>
    <w:rsid w:val="5D403E15"/>
    <w:rsid w:val="5E587722"/>
    <w:rsid w:val="613D4646"/>
    <w:rsid w:val="629818E2"/>
    <w:rsid w:val="6312675C"/>
    <w:rsid w:val="63A0227C"/>
    <w:rsid w:val="649C146B"/>
    <w:rsid w:val="65C33420"/>
    <w:rsid w:val="68141B1F"/>
    <w:rsid w:val="6A61486C"/>
    <w:rsid w:val="6CB051FB"/>
    <w:rsid w:val="6EA41053"/>
    <w:rsid w:val="7126006A"/>
    <w:rsid w:val="719374D7"/>
    <w:rsid w:val="71FD06AF"/>
    <w:rsid w:val="72351DF2"/>
    <w:rsid w:val="72C4300A"/>
    <w:rsid w:val="7355104B"/>
    <w:rsid w:val="748F3935"/>
    <w:rsid w:val="74905C17"/>
    <w:rsid w:val="77232B38"/>
    <w:rsid w:val="773A2C98"/>
    <w:rsid w:val="78AB5BB8"/>
    <w:rsid w:val="78D4738E"/>
    <w:rsid w:val="79B103B2"/>
    <w:rsid w:val="7A551E16"/>
    <w:rsid w:val="7A675005"/>
    <w:rsid w:val="7AB81B09"/>
    <w:rsid w:val="7B9A33C8"/>
    <w:rsid w:val="7C0F3E4E"/>
    <w:rsid w:val="7E695EF3"/>
    <w:rsid w:val="7FB83D8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36"/>
    <w:qFormat/>
    <w:uiPriority w:val="0"/>
    <w:pPr>
      <w:keepNext/>
      <w:keepLines/>
      <w:spacing w:line="416" w:lineRule="auto"/>
      <w:outlineLvl w:val="2"/>
    </w:pPr>
    <w:rPr>
      <w:rFonts w:ascii="Calibri" w:hAnsi="Calibri"/>
      <w:b/>
      <w:bCs/>
      <w:sz w:val="24"/>
      <w:szCs w:val="32"/>
    </w:rPr>
  </w:style>
  <w:style w:type="paragraph" w:styleId="6">
    <w:name w:val="heading 4"/>
    <w:basedOn w:val="1"/>
    <w:next w:val="1"/>
    <w:link w:val="34"/>
    <w:qFormat/>
    <w:uiPriority w:val="0"/>
    <w:pPr>
      <w:keepNext/>
      <w:keepLines/>
      <w:spacing w:before="280" w:after="290" w:line="376" w:lineRule="auto"/>
      <w:outlineLvl w:val="3"/>
    </w:pPr>
    <w:rPr>
      <w:rFonts w:ascii="Arial" w:hAnsi="Arial" w:eastAsia="黑体"/>
      <w:b/>
      <w:bCs/>
      <w:szCs w:val="28"/>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9"/>
    <w:qFormat/>
    <w:uiPriority w:val="0"/>
    <w:pPr>
      <w:spacing w:after="120" w:line="440" w:lineRule="exact"/>
      <w:jc w:val="left"/>
    </w:pPr>
    <w:rPr>
      <w:rFonts w:asciiTheme="minorHAnsi" w:hAnsiTheme="minorHAnsi" w:eastAsiaTheme="minorEastAsia" w:cstheme="minorBidi"/>
      <w:sz w:val="21"/>
      <w:szCs w:val="24"/>
    </w:rPr>
  </w:style>
  <w:style w:type="paragraph" w:styleId="7">
    <w:name w:val="Normal Indent"/>
    <w:basedOn w:val="1"/>
    <w:next w:val="1"/>
    <w:qFormat/>
    <w:uiPriority w:val="0"/>
    <w:pPr>
      <w:ind w:firstLine="420"/>
    </w:pPr>
    <w:rPr>
      <w:szCs w:val="24"/>
    </w:rPr>
  </w:style>
  <w:style w:type="paragraph" w:styleId="8">
    <w:name w:val="annotation text"/>
    <w:basedOn w:val="1"/>
    <w:link w:val="37"/>
    <w:qFormat/>
    <w:uiPriority w:val="0"/>
    <w:pPr>
      <w:spacing w:line="440" w:lineRule="exact"/>
      <w:jc w:val="left"/>
    </w:pPr>
    <w:rPr>
      <w:rFonts w:asciiTheme="minorHAnsi" w:hAnsiTheme="minorHAnsi" w:eastAsiaTheme="minorEastAsia" w:cstheme="minorBidi"/>
      <w:sz w:val="24"/>
      <w:szCs w:val="24"/>
    </w:rPr>
  </w:style>
  <w:style w:type="paragraph" w:styleId="9">
    <w:name w:val="Body Text 3"/>
    <w:basedOn w:val="1"/>
    <w:link w:val="38"/>
    <w:qFormat/>
    <w:uiPriority w:val="0"/>
    <w:pPr>
      <w:spacing w:after="120" w:line="440" w:lineRule="exact"/>
      <w:jc w:val="left"/>
    </w:pPr>
    <w:rPr>
      <w:rFonts w:asciiTheme="minorHAnsi" w:hAnsiTheme="minorHAnsi" w:eastAsiaTheme="minorEastAsia" w:cstheme="minorBidi"/>
      <w:sz w:val="16"/>
      <w:szCs w:val="16"/>
    </w:rPr>
  </w:style>
  <w:style w:type="paragraph" w:styleId="10">
    <w:name w:val="Body Text Indent"/>
    <w:basedOn w:val="1"/>
    <w:link w:val="40"/>
    <w:qFormat/>
    <w:uiPriority w:val="0"/>
    <w:pPr>
      <w:spacing w:after="120" w:line="440" w:lineRule="exact"/>
      <w:ind w:left="420" w:leftChars="200"/>
      <w:jc w:val="left"/>
    </w:pPr>
    <w:rPr>
      <w:rFonts w:asciiTheme="minorHAnsi" w:hAnsiTheme="minorHAnsi" w:eastAsiaTheme="minorEastAsia" w:cstheme="minorBidi"/>
      <w:sz w:val="24"/>
      <w:szCs w:val="24"/>
    </w:rPr>
  </w:style>
  <w:style w:type="paragraph" w:styleId="11">
    <w:name w:val="toc 3"/>
    <w:basedOn w:val="1"/>
    <w:next w:val="1"/>
    <w:qFormat/>
    <w:uiPriority w:val="39"/>
    <w:pPr>
      <w:ind w:left="840" w:leftChars="400"/>
    </w:pPr>
    <w:rPr>
      <w:szCs w:val="24"/>
    </w:rPr>
  </w:style>
  <w:style w:type="paragraph" w:styleId="12">
    <w:name w:val="Plain Text"/>
    <w:basedOn w:val="1"/>
    <w:link w:val="41"/>
    <w:qFormat/>
    <w:uiPriority w:val="0"/>
    <w:rPr>
      <w:rFonts w:hint="eastAsia" w:ascii="宋体" w:hAnsi="Courier New"/>
      <w:szCs w:val="20"/>
    </w:rPr>
  </w:style>
  <w:style w:type="paragraph" w:styleId="13">
    <w:name w:val="Date"/>
    <w:basedOn w:val="1"/>
    <w:next w:val="1"/>
    <w:link w:val="42"/>
    <w:qFormat/>
    <w:uiPriority w:val="0"/>
    <w:pPr>
      <w:ind w:left="100" w:leftChars="2500"/>
    </w:pPr>
    <w:rPr>
      <w:rFonts w:asciiTheme="minorHAnsi" w:hAnsiTheme="minorHAnsi" w:eastAsiaTheme="minorEastAsia" w:cstheme="minorBidi"/>
      <w:sz w:val="21"/>
      <w:szCs w:val="24"/>
    </w:rPr>
  </w:style>
  <w:style w:type="paragraph" w:styleId="14">
    <w:name w:val="Body Text Indent 2"/>
    <w:basedOn w:val="1"/>
    <w:link w:val="43"/>
    <w:qFormat/>
    <w:uiPriority w:val="0"/>
    <w:pPr>
      <w:spacing w:line="440" w:lineRule="exact"/>
      <w:ind w:firstLine="570"/>
      <w:jc w:val="left"/>
    </w:pPr>
    <w:rPr>
      <w:rFonts w:ascii="宋体" w:hAnsi="宋体" w:eastAsiaTheme="minorEastAsia" w:cstheme="minorBidi"/>
      <w:sz w:val="24"/>
    </w:rPr>
  </w:style>
  <w:style w:type="paragraph" w:styleId="15">
    <w:name w:val="Balloon Text"/>
    <w:basedOn w:val="1"/>
    <w:link w:val="44"/>
    <w:qFormat/>
    <w:uiPriority w:val="0"/>
    <w:pPr>
      <w:spacing w:line="440" w:lineRule="exact"/>
      <w:jc w:val="left"/>
    </w:pPr>
    <w:rPr>
      <w:rFonts w:asciiTheme="minorHAnsi" w:hAnsiTheme="minorHAnsi" w:eastAsiaTheme="minorEastAsia" w:cstheme="minorBidi"/>
      <w:sz w:val="18"/>
      <w:szCs w:val="18"/>
    </w:rPr>
  </w:style>
  <w:style w:type="paragraph" w:styleId="16">
    <w:name w:val="footer"/>
    <w:basedOn w:val="1"/>
    <w:link w:val="45"/>
    <w:unhideWhenUsed/>
    <w:qFormat/>
    <w:uiPriority w:val="99"/>
    <w:pPr>
      <w:tabs>
        <w:tab w:val="center" w:pos="4153"/>
        <w:tab w:val="right" w:pos="8306"/>
      </w:tabs>
      <w:jc w:val="left"/>
    </w:pPr>
    <w:rPr>
      <w:sz w:val="18"/>
      <w:szCs w:val="18"/>
    </w:rPr>
  </w:style>
  <w:style w:type="paragraph" w:styleId="17">
    <w:name w:val="header"/>
    <w:basedOn w:val="1"/>
    <w:link w:val="46"/>
    <w:unhideWhenUsed/>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Subtitle"/>
    <w:basedOn w:val="1"/>
    <w:next w:val="1"/>
    <w:qFormat/>
    <w:uiPriority w:val="0"/>
    <w:pPr>
      <w:ind w:firstLine="0" w:firstLineChars="0"/>
      <w:outlineLvl w:val="1"/>
    </w:pPr>
    <w:rPr>
      <w:rFonts w:ascii="Cambria" w:hAnsi="Cambria" w:cs="Times New Roman"/>
      <w:bCs/>
      <w:kern w:val="28"/>
      <w:szCs w:val="32"/>
    </w:rPr>
  </w:style>
  <w:style w:type="paragraph" w:styleId="2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2">
    <w:name w:val="annotation subject"/>
    <w:basedOn w:val="8"/>
    <w:next w:val="8"/>
    <w:link w:val="71"/>
    <w:semiHidden/>
    <w:unhideWhenUsed/>
    <w:qFormat/>
    <w:uiPriority w:val="99"/>
    <w:pPr>
      <w:spacing w:line="240" w:lineRule="auto"/>
    </w:pPr>
    <w:rPr>
      <w:rFonts w:ascii="Times New Roman" w:hAnsi="Times New Roman" w:eastAsia="仿宋_GB2312" w:cs="Times New Roman"/>
      <w:b/>
      <w:bCs/>
      <w:sz w:val="32"/>
      <w:szCs w:val="22"/>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Grid 1"/>
    <w:basedOn w:val="23"/>
    <w:qFormat/>
    <w:uiPriority w:val="0"/>
    <w:pPr>
      <w:widowControl w:val="0"/>
      <w:jc w:val="both"/>
    </w:pPr>
    <w:rPr>
      <w:rFonts w:ascii="Times New Roman" w:hAnsi="Times New Roman" w:eastAsia="Times New Roman"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7">
    <w:name w:val="Strong"/>
    <w:basedOn w:val="26"/>
    <w:qFormat/>
    <w:uiPriority w:val="22"/>
    <w:rPr>
      <w:u w:val="none"/>
    </w:rPr>
  </w:style>
  <w:style w:type="character" w:styleId="28">
    <w:name w:val="page number"/>
    <w:basedOn w:val="26"/>
    <w:qFormat/>
    <w:uiPriority w:val="0"/>
  </w:style>
  <w:style w:type="character" w:styleId="29">
    <w:name w:val="FollowedHyperlink"/>
    <w:unhideWhenUsed/>
    <w:qFormat/>
    <w:uiPriority w:val="99"/>
    <w:rPr>
      <w:color w:val="954F72"/>
      <w:u w:val="single"/>
    </w:rPr>
  </w:style>
  <w:style w:type="character" w:styleId="30">
    <w:name w:val="Emphasis"/>
    <w:basedOn w:val="26"/>
    <w:qFormat/>
    <w:uiPriority w:val="20"/>
    <w:rPr>
      <w:u w:val="none"/>
    </w:rPr>
  </w:style>
  <w:style w:type="character" w:styleId="31">
    <w:name w:val="Hyperlink"/>
    <w:basedOn w:val="26"/>
    <w:unhideWhenUsed/>
    <w:qFormat/>
    <w:uiPriority w:val="99"/>
    <w:rPr>
      <w:color w:val="0000FF" w:themeColor="hyperlink"/>
      <w:u w:val="single"/>
      <w14:textFill>
        <w14:solidFill>
          <w14:schemeClr w14:val="hlink"/>
        </w14:solidFill>
      </w14:textFill>
    </w:rPr>
  </w:style>
  <w:style w:type="character" w:styleId="32">
    <w:name w:val="annotation reference"/>
    <w:qFormat/>
    <w:uiPriority w:val="0"/>
    <w:rPr>
      <w:sz w:val="21"/>
      <w:szCs w:val="21"/>
    </w:rPr>
  </w:style>
  <w:style w:type="character" w:customStyle="1" w:styleId="33">
    <w:name w:val="标题 1 字符"/>
    <w:basedOn w:val="26"/>
    <w:link w:val="3"/>
    <w:qFormat/>
    <w:uiPriority w:val="0"/>
    <w:rPr>
      <w:rFonts w:ascii="Times New Roman" w:hAnsi="Times New Roman" w:eastAsia="仿宋_GB2312" w:cs="Times New Roman"/>
      <w:b/>
      <w:bCs/>
      <w:kern w:val="44"/>
      <w:sz w:val="44"/>
      <w:szCs w:val="44"/>
    </w:rPr>
  </w:style>
  <w:style w:type="character" w:customStyle="1" w:styleId="34">
    <w:name w:val="标题 4 字符"/>
    <w:basedOn w:val="26"/>
    <w:link w:val="6"/>
    <w:qFormat/>
    <w:uiPriority w:val="0"/>
    <w:rPr>
      <w:rFonts w:ascii="Arial" w:hAnsi="Arial" w:eastAsia="黑体" w:cs="Times New Roman"/>
      <w:b/>
      <w:bCs/>
      <w:sz w:val="28"/>
      <w:szCs w:val="28"/>
    </w:rPr>
  </w:style>
  <w:style w:type="character" w:customStyle="1" w:styleId="35">
    <w:name w:val="标题 2 字符"/>
    <w:link w:val="4"/>
    <w:qFormat/>
    <w:uiPriority w:val="0"/>
    <w:rPr>
      <w:rFonts w:ascii="Arial" w:hAnsi="Arial" w:eastAsia="黑体" w:cs="Times New Roman"/>
      <w:b/>
      <w:bCs/>
      <w:sz w:val="32"/>
      <w:szCs w:val="32"/>
    </w:rPr>
  </w:style>
  <w:style w:type="character" w:customStyle="1" w:styleId="36">
    <w:name w:val="标题 3 字符"/>
    <w:basedOn w:val="26"/>
    <w:link w:val="5"/>
    <w:qFormat/>
    <w:uiPriority w:val="0"/>
    <w:rPr>
      <w:rFonts w:ascii="Calibri" w:hAnsi="Calibri" w:eastAsia="宋体" w:cs="Times New Roman"/>
      <w:b/>
      <w:bCs/>
      <w:sz w:val="24"/>
      <w:szCs w:val="32"/>
    </w:rPr>
  </w:style>
  <w:style w:type="character" w:customStyle="1" w:styleId="37">
    <w:name w:val="批注文字 字符"/>
    <w:link w:val="8"/>
    <w:qFormat/>
    <w:uiPriority w:val="0"/>
    <w:rPr>
      <w:sz w:val="24"/>
      <w:szCs w:val="24"/>
    </w:rPr>
  </w:style>
  <w:style w:type="character" w:customStyle="1" w:styleId="38">
    <w:name w:val="正文文本 3 字符"/>
    <w:link w:val="9"/>
    <w:qFormat/>
    <w:uiPriority w:val="0"/>
    <w:rPr>
      <w:sz w:val="16"/>
      <w:szCs w:val="16"/>
    </w:rPr>
  </w:style>
  <w:style w:type="character" w:customStyle="1" w:styleId="39">
    <w:name w:val="正文文本 字符"/>
    <w:link w:val="2"/>
    <w:qFormat/>
    <w:uiPriority w:val="0"/>
    <w:rPr>
      <w:szCs w:val="24"/>
    </w:rPr>
  </w:style>
  <w:style w:type="character" w:customStyle="1" w:styleId="40">
    <w:name w:val="正文文本缩进 字符"/>
    <w:link w:val="10"/>
    <w:qFormat/>
    <w:uiPriority w:val="0"/>
    <w:rPr>
      <w:sz w:val="24"/>
      <w:szCs w:val="24"/>
    </w:rPr>
  </w:style>
  <w:style w:type="character" w:customStyle="1" w:styleId="41">
    <w:name w:val="纯文本 字符"/>
    <w:basedOn w:val="26"/>
    <w:link w:val="12"/>
    <w:qFormat/>
    <w:uiPriority w:val="0"/>
    <w:rPr>
      <w:rFonts w:ascii="宋体" w:hAnsi="Courier New" w:eastAsia="宋体" w:cs="Times New Roman"/>
      <w:sz w:val="28"/>
      <w:szCs w:val="20"/>
    </w:rPr>
  </w:style>
  <w:style w:type="character" w:customStyle="1" w:styleId="42">
    <w:name w:val="日期 字符"/>
    <w:link w:val="13"/>
    <w:qFormat/>
    <w:uiPriority w:val="0"/>
    <w:rPr>
      <w:szCs w:val="24"/>
    </w:rPr>
  </w:style>
  <w:style w:type="character" w:customStyle="1" w:styleId="43">
    <w:name w:val="正文文本缩进 2 字符"/>
    <w:link w:val="14"/>
    <w:qFormat/>
    <w:uiPriority w:val="0"/>
    <w:rPr>
      <w:rFonts w:ascii="宋体" w:hAnsi="宋体"/>
      <w:sz w:val="24"/>
    </w:rPr>
  </w:style>
  <w:style w:type="character" w:customStyle="1" w:styleId="44">
    <w:name w:val="批注框文本 字符"/>
    <w:link w:val="15"/>
    <w:qFormat/>
    <w:uiPriority w:val="0"/>
    <w:rPr>
      <w:sz w:val="18"/>
      <w:szCs w:val="18"/>
    </w:rPr>
  </w:style>
  <w:style w:type="character" w:customStyle="1" w:styleId="45">
    <w:name w:val="页脚 字符"/>
    <w:basedOn w:val="26"/>
    <w:link w:val="16"/>
    <w:qFormat/>
    <w:uiPriority w:val="99"/>
    <w:rPr>
      <w:rFonts w:ascii="Times New Roman" w:hAnsi="Times New Roman" w:eastAsia="仿宋_GB2312" w:cs="Times New Roman"/>
      <w:sz w:val="18"/>
      <w:szCs w:val="18"/>
    </w:rPr>
  </w:style>
  <w:style w:type="character" w:customStyle="1" w:styleId="46">
    <w:name w:val="页眉 字符"/>
    <w:basedOn w:val="26"/>
    <w:link w:val="17"/>
    <w:qFormat/>
    <w:uiPriority w:val="0"/>
    <w:rPr>
      <w:rFonts w:ascii="Times New Roman" w:hAnsi="Times New Roman" w:eastAsia="仿宋_GB2312" w:cs="Times New Roman"/>
      <w:sz w:val="18"/>
      <w:szCs w:val="18"/>
    </w:rPr>
  </w:style>
  <w:style w:type="paragraph" w:customStyle="1" w:styleId="47">
    <w:name w:val="二级标题"/>
    <w:basedOn w:val="1"/>
    <w:next w:val="1"/>
    <w:qFormat/>
    <w:uiPriority w:val="0"/>
    <w:pPr>
      <w:overflowPunct w:val="0"/>
      <w:outlineLvl w:val="0"/>
    </w:pPr>
    <w:rPr>
      <w:b/>
      <w:szCs w:val="32"/>
    </w:rPr>
  </w:style>
  <w:style w:type="paragraph" w:customStyle="1" w:styleId="48">
    <w:name w:val="中等深浅网格 1 - 着色 21"/>
    <w:basedOn w:val="1"/>
    <w:qFormat/>
    <w:uiPriority w:val="0"/>
    <w:pPr>
      <w:ind w:firstLine="420"/>
    </w:pPr>
    <w:rPr>
      <w:rFonts w:ascii="Calibri" w:hAnsi="Calibri"/>
      <w:sz w:val="21"/>
    </w:rPr>
  </w:style>
  <w:style w:type="paragraph" w:customStyle="1" w:styleId="49">
    <w:name w:val="列出段落1"/>
    <w:basedOn w:val="1"/>
    <w:qFormat/>
    <w:uiPriority w:val="99"/>
    <w:pPr>
      <w:ind w:firstLine="420"/>
    </w:pPr>
  </w:style>
  <w:style w:type="paragraph" w:customStyle="1" w:styleId="5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1">
    <w:name w:val="三级标题"/>
    <w:basedOn w:val="1"/>
    <w:next w:val="1"/>
    <w:qFormat/>
    <w:uiPriority w:val="0"/>
    <w:pPr>
      <w:overflowPunct w:val="0"/>
    </w:pPr>
    <w:rPr>
      <w:rFonts w:ascii="宋体" w:hAnsi="宋体" w:cs="宋体"/>
      <w:b/>
    </w:rPr>
  </w:style>
  <w:style w:type="character" w:customStyle="1" w:styleId="52">
    <w:name w:val="正文文本 字符1"/>
    <w:qFormat/>
    <w:uiPriority w:val="0"/>
    <w:rPr>
      <w:kern w:val="2"/>
      <w:sz w:val="21"/>
      <w:szCs w:val="24"/>
    </w:rPr>
  </w:style>
  <w:style w:type="paragraph" w:customStyle="1" w:styleId="53">
    <w:name w:val="表格内容"/>
    <w:basedOn w:val="1"/>
    <w:next w:val="1"/>
    <w:qFormat/>
    <w:uiPriority w:val="0"/>
    <w:pPr>
      <w:ind w:firstLine="0" w:firstLineChars="0"/>
    </w:pPr>
    <w:rPr>
      <w:sz w:val="21"/>
    </w:rPr>
  </w:style>
  <w:style w:type="character" w:customStyle="1" w:styleId="54">
    <w:name w:val="表内容行距 Char"/>
    <w:basedOn w:val="26"/>
    <w:link w:val="55"/>
    <w:qFormat/>
    <w:locked/>
    <w:uiPriority w:val="0"/>
    <w:rPr>
      <w:rFonts w:ascii="方正书宋简体" w:eastAsia="方正书宋简体"/>
      <w:szCs w:val="21"/>
    </w:rPr>
  </w:style>
  <w:style w:type="paragraph" w:customStyle="1" w:styleId="55">
    <w:name w:val="表内容行距"/>
    <w:basedOn w:val="1"/>
    <w:link w:val="54"/>
    <w:qFormat/>
    <w:uiPriority w:val="0"/>
    <w:pPr>
      <w:spacing w:line="340" w:lineRule="exact"/>
      <w:ind w:firstLine="100" w:firstLineChars="100"/>
      <w:jc w:val="left"/>
    </w:pPr>
    <w:rPr>
      <w:rFonts w:ascii="方正书宋简体" w:hAnsiTheme="minorHAnsi" w:cstheme="minorBidi"/>
      <w:sz w:val="21"/>
      <w:szCs w:val="21"/>
    </w:rPr>
  </w:style>
  <w:style w:type="character" w:customStyle="1" w:styleId="56">
    <w:name w:val="正文文本缩进 字符1"/>
    <w:basedOn w:val="26"/>
    <w:semiHidden/>
    <w:qFormat/>
    <w:uiPriority w:val="99"/>
    <w:rPr>
      <w:rFonts w:ascii="Times New Roman" w:hAnsi="Times New Roman" w:eastAsia="仿宋_GB2312" w:cs="Times New Roman"/>
      <w:sz w:val="32"/>
    </w:rPr>
  </w:style>
  <w:style w:type="paragraph" w:customStyle="1" w:styleId="57">
    <w:name w:val="样式 标题 1 + 三号 段前: 7.8 磅 段后: 7.8 磅"/>
    <w:basedOn w:val="3"/>
    <w:qFormat/>
    <w:uiPriority w:val="0"/>
    <w:pPr>
      <w:spacing w:before="156" w:after="156" w:line="440" w:lineRule="exact"/>
      <w:jc w:val="center"/>
      <w:outlineLvl w:val="1"/>
    </w:pPr>
    <w:rPr>
      <w:rFonts w:eastAsia="黑体" w:cs="宋体"/>
      <w:sz w:val="32"/>
      <w:szCs w:val="20"/>
    </w:rPr>
  </w:style>
  <w:style w:type="character" w:customStyle="1" w:styleId="58">
    <w:name w:val="正文文本 3 字符1"/>
    <w:basedOn w:val="26"/>
    <w:semiHidden/>
    <w:qFormat/>
    <w:uiPriority w:val="99"/>
    <w:rPr>
      <w:rFonts w:ascii="Times New Roman" w:hAnsi="Times New Roman" w:eastAsia="仿宋_GB2312" w:cs="Times New Roman"/>
      <w:sz w:val="16"/>
      <w:szCs w:val="16"/>
    </w:rPr>
  </w:style>
  <w:style w:type="character" w:customStyle="1" w:styleId="59">
    <w:name w:val="正文文本 字符2"/>
    <w:basedOn w:val="26"/>
    <w:semiHidden/>
    <w:qFormat/>
    <w:uiPriority w:val="99"/>
    <w:rPr>
      <w:rFonts w:ascii="Times New Roman" w:hAnsi="Times New Roman" w:eastAsia="仿宋_GB2312" w:cs="Times New Roman"/>
      <w:sz w:val="32"/>
    </w:rPr>
  </w:style>
  <w:style w:type="character" w:customStyle="1" w:styleId="60">
    <w:name w:val="批注文字 字符1"/>
    <w:basedOn w:val="26"/>
    <w:semiHidden/>
    <w:qFormat/>
    <w:uiPriority w:val="99"/>
    <w:rPr>
      <w:rFonts w:ascii="Times New Roman" w:hAnsi="Times New Roman" w:eastAsia="仿宋_GB2312" w:cs="Times New Roman"/>
      <w:sz w:val="32"/>
    </w:rPr>
  </w:style>
  <w:style w:type="paragraph" w:customStyle="1" w:styleId="61">
    <w:name w:val="图中文字"/>
    <w:qFormat/>
    <w:uiPriority w:val="0"/>
    <w:pPr>
      <w:jc w:val="center"/>
    </w:pPr>
    <w:rPr>
      <w:rFonts w:ascii="仿宋_GB2312" w:hAnsi="Times New Roman" w:eastAsia="宋体" w:cs="Times New Roman"/>
      <w:kern w:val="2"/>
      <w:sz w:val="21"/>
      <w:szCs w:val="24"/>
      <w:lang w:val="en-US" w:eastAsia="zh-CN" w:bidi="ar-SA"/>
    </w:rPr>
  </w:style>
  <w:style w:type="character" w:customStyle="1" w:styleId="62">
    <w:name w:val="正文文本缩进 2 字符1"/>
    <w:basedOn w:val="26"/>
    <w:semiHidden/>
    <w:qFormat/>
    <w:uiPriority w:val="99"/>
    <w:rPr>
      <w:rFonts w:ascii="Times New Roman" w:hAnsi="Times New Roman" w:eastAsia="仿宋_GB2312" w:cs="Times New Roman"/>
      <w:sz w:val="32"/>
    </w:rPr>
  </w:style>
  <w:style w:type="paragraph" w:customStyle="1" w:styleId="63">
    <w:name w:val="正文1"/>
    <w:basedOn w:val="1"/>
    <w:next w:val="1"/>
    <w:qFormat/>
    <w:uiPriority w:val="0"/>
    <w:pPr>
      <w:jc w:val="left"/>
    </w:pPr>
    <w:rPr>
      <w:sz w:val="24"/>
      <w:szCs w:val="24"/>
    </w:rPr>
  </w:style>
  <w:style w:type="paragraph" w:customStyle="1" w:styleId="64">
    <w:name w:val="正文-非表格"/>
    <w:basedOn w:val="1"/>
    <w:qFormat/>
    <w:uiPriority w:val="0"/>
    <w:pPr>
      <w:tabs>
        <w:tab w:val="left" w:pos="327"/>
        <w:tab w:val="left" w:pos="8185"/>
      </w:tabs>
      <w:spacing w:line="300" w:lineRule="auto"/>
    </w:pPr>
    <w:rPr>
      <w:rFonts w:hint="eastAsia" w:ascii="宋体" w:hAnsi="宋体"/>
      <w:sz w:val="24"/>
      <w:szCs w:val="24"/>
    </w:rPr>
  </w:style>
  <w:style w:type="character" w:customStyle="1" w:styleId="65">
    <w:name w:val="批注框文本 字符1"/>
    <w:basedOn w:val="26"/>
    <w:semiHidden/>
    <w:qFormat/>
    <w:uiPriority w:val="99"/>
    <w:rPr>
      <w:rFonts w:ascii="Times New Roman" w:hAnsi="Times New Roman" w:eastAsia="仿宋_GB2312" w:cs="Times New Roman"/>
      <w:sz w:val="18"/>
      <w:szCs w:val="18"/>
    </w:rPr>
  </w:style>
  <w:style w:type="paragraph" w:customStyle="1" w:styleId="66">
    <w:name w:val="样式1"/>
    <w:basedOn w:val="1"/>
    <w:qFormat/>
    <w:uiPriority w:val="0"/>
    <w:pPr>
      <w:spacing w:line="400" w:lineRule="exact"/>
      <w:jc w:val="left"/>
    </w:pPr>
    <w:rPr>
      <w:sz w:val="24"/>
      <w:szCs w:val="24"/>
    </w:rPr>
  </w:style>
  <w:style w:type="table" w:customStyle="1" w:styleId="67">
    <w:name w:val="网格型1"/>
    <w:basedOn w:val="23"/>
    <w:qFormat/>
    <w:uiPriority w:val="0"/>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日期 字符1"/>
    <w:basedOn w:val="26"/>
    <w:qFormat/>
    <w:uiPriority w:val="0"/>
    <w:rPr>
      <w:rFonts w:ascii="Times New Roman" w:hAnsi="Times New Roman" w:eastAsia="仿宋_GB2312" w:cs="Times New Roman"/>
      <w:sz w:val="32"/>
    </w:rPr>
  </w:style>
  <w:style w:type="paragraph" w:customStyle="1" w:styleId="69">
    <w:name w:val="Table Paragraph"/>
    <w:basedOn w:val="1"/>
    <w:qFormat/>
    <w:uiPriority w:val="1"/>
    <w:pPr>
      <w:spacing w:before="8"/>
      <w:ind w:left="40"/>
      <w:jc w:val="center"/>
    </w:pPr>
    <w:rPr>
      <w:rFonts w:ascii="宋体" w:hAnsi="宋体" w:cs="宋体"/>
      <w:szCs w:val="24"/>
      <w:lang w:val="zh-CN" w:bidi="zh-CN"/>
    </w:rPr>
  </w:style>
  <w:style w:type="table" w:customStyle="1" w:styleId="70">
    <w:name w:val="网格型11"/>
    <w:basedOn w:val="23"/>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批注主题 字符"/>
    <w:basedOn w:val="37"/>
    <w:link w:val="22"/>
    <w:semiHidden/>
    <w:qFormat/>
    <w:uiPriority w:val="99"/>
    <w:rPr>
      <w:rFonts w:ascii="Times New Roman" w:hAnsi="Times New Roman" w:eastAsia="仿宋_GB2312" w:cs="Times New Roman"/>
      <w:b/>
      <w:bCs/>
      <w:kern w:val="2"/>
      <w:sz w:val="32"/>
      <w:szCs w:val="22"/>
    </w:rPr>
  </w:style>
  <w:style w:type="paragraph" w:customStyle="1" w:styleId="72">
    <w:name w:val="一级标题"/>
    <w:basedOn w:val="1"/>
    <w:next w:val="1"/>
    <w:qFormat/>
    <w:uiPriority w:val="0"/>
    <w:pPr>
      <w:overflowPunct w:val="0"/>
      <w:outlineLvl w:val="0"/>
    </w:pPr>
    <w:rPr>
      <w:rFonts w:eastAsia="黑体"/>
      <w:szCs w:val="32"/>
    </w:rPr>
  </w:style>
  <w:style w:type="paragraph" w:customStyle="1" w:styleId="73">
    <w:name w:val="表格名"/>
    <w:basedOn w:val="1"/>
    <w:next w:val="1"/>
    <w:qFormat/>
    <w:uiPriority w:val="0"/>
    <w:pPr>
      <w:overflowPunct w:val="0"/>
      <w:jc w:val="center"/>
    </w:pPr>
    <w:rPr>
      <w:rFonts w:ascii="宋体" w:hAnsi="宋体" w:cs="宋体"/>
      <w:b/>
      <w:sz w:val="21"/>
      <w:szCs w:val="21"/>
    </w:rPr>
  </w:style>
  <w:style w:type="paragraph" w:customStyle="1" w:styleId="74">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5">
    <w:name w:val="font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6">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7">
    <w:name w:val="xl9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78">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9">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0">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1">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000000"/>
      <w:kern w:val="0"/>
      <w:sz w:val="15"/>
      <w:szCs w:val="15"/>
    </w:rPr>
  </w:style>
  <w:style w:type="paragraph" w:customStyle="1" w:styleId="8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3">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4">
    <w:name w:val="xl10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5">
    <w:name w:val="xl102"/>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6">
    <w:name w:val="xl103"/>
    <w:basedOn w:val="1"/>
    <w:qFormat/>
    <w:uiPriority w:val="0"/>
    <w:pPr>
      <w:widowControl/>
      <w:pBdr>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7">
    <w:name w:val="xl104"/>
    <w:basedOn w:val="1"/>
    <w:qFormat/>
    <w:uiPriority w:val="0"/>
    <w:pPr>
      <w:widowControl/>
      <w:pBdr>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8">
    <w:name w:val="xl10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9">
    <w:name w:val="xl106"/>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90">
    <w:name w:val="xl10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1">
    <w:name w:val="xl108"/>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2">
    <w:name w:val="xl10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3">
    <w:name w:val="xl11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4">
    <w:name w:val="xl111"/>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5">
    <w:name w:val="xl11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character" w:customStyle="1" w:styleId="96">
    <w:name w:val="font31"/>
    <w:basedOn w:val="26"/>
    <w:qFormat/>
    <w:uiPriority w:val="0"/>
    <w:rPr>
      <w:rFonts w:hint="eastAsia" w:ascii="宋体" w:hAnsi="宋体" w:eastAsia="宋体" w:cs="宋体"/>
      <w:color w:val="000000"/>
      <w:sz w:val="18"/>
      <w:szCs w:val="18"/>
      <w:u w:val="none"/>
    </w:rPr>
  </w:style>
  <w:style w:type="character" w:customStyle="1" w:styleId="97">
    <w:name w:val="cur"/>
    <w:basedOn w:val="26"/>
    <w:qFormat/>
    <w:uiPriority w:val="0"/>
    <w:rPr>
      <w:color w:val="FFFFFF"/>
      <w:shd w:val="clear" w:fill="CCCCCC"/>
    </w:rPr>
  </w:style>
  <w:style w:type="character" w:customStyle="1" w:styleId="98">
    <w:name w:val="mid"/>
    <w:basedOn w:val="26"/>
    <w:qFormat/>
    <w:uiPriority w:val="0"/>
    <w:rPr>
      <w:bdr w:val="single" w:color="CCCCCC" w:sz="6" w:space="0"/>
    </w:rPr>
  </w:style>
  <w:style w:type="paragraph" w:customStyle="1" w:styleId="99">
    <w:name w:val="表头"/>
    <w:basedOn w:val="1"/>
    <w:qFormat/>
    <w:uiPriority w:val="0"/>
    <w:pPr>
      <w:topLinePunct/>
      <w:adjustRightInd w:val="0"/>
      <w:snapToGrid w:val="0"/>
      <w:jc w:val="center"/>
    </w:pPr>
    <w:rPr>
      <w:rFonts w:ascii="方正兰亭黑简体" w:eastAsia="方正兰亭黑简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CHINA</Company>
  <Pages>13</Pages>
  <Words>5984</Words>
  <Characters>6572</Characters>
  <Lines>89</Lines>
  <Paragraphs>25</Paragraphs>
  <TotalTime>1</TotalTime>
  <ScaleCrop>false</ScaleCrop>
  <LinksUpToDate>false</LinksUpToDate>
  <CharactersWithSpaces>7072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2019-08-25T15:29:00Z</dcterms:created>
  <dc:creator>wl669006</dc:creator>
  <cp:lastModifiedBy>Administrator</cp:lastModifiedBy>
  <cp:lastPrinted>2019-08-24T09:20:00Z</cp:lastPrinted>
  <dcterms:modified xsi:type="dcterms:W3CDTF">2021-10-20T07:33:29Z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25E0396F22CB41B7838E76B6925C215F</vt:lpwstr>
  </property>
  <property fmtid="{D5CDD505-2E9C-101B-9397-08002B2CF9AE}" pid="4" name="KSOSaveFontToCloudKey">
    <vt:lpwstr>253990167_embed</vt:lpwstr>
  </property>
</Properties>
</file>