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8"/>
          <w:szCs w:val="48"/>
        </w:rPr>
      </w:pPr>
      <w:bookmarkStart w:id="0" w:name="_Toc8138405"/>
      <w:bookmarkStart w:id="1" w:name="_Toc448835371"/>
      <w:r>
        <w:rPr>
          <w:rFonts w:hint="eastAsia" w:ascii="方正小标宋简体" w:eastAsia="方正小标宋简体"/>
          <w:sz w:val="48"/>
          <w:szCs w:val="48"/>
        </w:rPr>
        <w:t>城市轨道交通机电技术专业</w:t>
      </w:r>
    </w:p>
    <w:p>
      <w:pPr>
        <w:widowControl/>
        <w:jc w:val="center"/>
        <w:rPr>
          <w:rFonts w:ascii="方正小标宋简体" w:eastAsia="方正小标宋简体"/>
          <w:sz w:val="48"/>
          <w:szCs w:val="48"/>
        </w:rPr>
      </w:pPr>
      <w:r>
        <w:rPr>
          <w:rFonts w:hint="eastAsia" w:ascii="方正小标宋简体" w:eastAsia="方正小标宋简体"/>
          <w:sz w:val="48"/>
          <w:szCs w:val="48"/>
        </w:rPr>
        <w:t>中高职一体化五年制职业教育人才培养方案</w:t>
      </w:r>
      <w:bookmarkEnd w:id="0"/>
      <w:bookmarkEnd w:id="1"/>
    </w:p>
    <w:p>
      <w:pPr>
        <w:rPr>
          <w:rFonts w:eastAsia="黑体"/>
          <w:sz w:val="24"/>
        </w:rPr>
      </w:pPr>
    </w:p>
    <w:p>
      <w:pPr>
        <w:keepNext/>
        <w:keepLines/>
        <w:snapToGrid w:val="0"/>
        <w:spacing w:before="156" w:beforeLines="50" w:after="156" w:afterLines="50" w:line="440" w:lineRule="exact"/>
        <w:outlineLvl w:val="1"/>
        <w:rPr>
          <w:rFonts w:hint="eastAsia" w:ascii="宋体" w:hAnsi="宋体" w:cs="宋体"/>
          <w:b/>
          <w:bCs/>
          <w:kern w:val="44"/>
          <w:sz w:val="28"/>
          <w:szCs w:val="28"/>
        </w:rPr>
      </w:pPr>
      <w:bookmarkStart w:id="2" w:name="_Toc391628729"/>
      <w:bookmarkStart w:id="3" w:name="_Toc448835372"/>
      <w:bookmarkStart w:id="4" w:name="_Toc391645948"/>
      <w:bookmarkStart w:id="5" w:name="_Toc288748867"/>
      <w:bookmarkStart w:id="6" w:name="_Toc391628728"/>
      <w:r>
        <w:rPr>
          <w:rFonts w:hint="eastAsia" w:ascii="宋体" w:hAnsi="宋体" w:cs="宋体"/>
          <w:b/>
          <w:bCs/>
          <w:kern w:val="44"/>
          <w:sz w:val="28"/>
          <w:szCs w:val="28"/>
        </w:rPr>
        <w:t>一、</w:t>
      </w:r>
      <w:bookmarkEnd w:id="2"/>
      <w:bookmarkEnd w:id="3"/>
      <w:bookmarkEnd w:id="4"/>
      <w:r>
        <w:rPr>
          <w:rFonts w:hint="eastAsia" w:ascii="宋体" w:hAnsi="宋体" w:cs="宋体"/>
          <w:b/>
          <w:bCs/>
          <w:kern w:val="44"/>
          <w:sz w:val="28"/>
          <w:szCs w:val="28"/>
        </w:rPr>
        <w:t>专业名称及代码</w:t>
      </w:r>
    </w:p>
    <w:p>
      <w:pPr>
        <w:snapToGrid w:val="0"/>
        <w:spacing w:line="440" w:lineRule="exact"/>
        <w:ind w:firstLine="480" w:firstLineChars="200"/>
        <w:rPr>
          <w:rFonts w:ascii="宋体" w:hAnsi="宋体"/>
          <w:bCs/>
          <w:sz w:val="24"/>
        </w:rPr>
      </w:pPr>
      <w:r>
        <w:rPr>
          <w:rFonts w:hint="eastAsia" w:ascii="宋体" w:hAnsi="宋体"/>
          <w:bCs/>
          <w:sz w:val="24"/>
        </w:rPr>
        <w:t>专业名称：城市轨道交通机电技术</w:t>
      </w:r>
    </w:p>
    <w:p>
      <w:pPr>
        <w:snapToGrid w:val="0"/>
        <w:spacing w:line="440" w:lineRule="exact"/>
        <w:ind w:firstLine="480" w:firstLineChars="200"/>
        <w:rPr>
          <w:rFonts w:hint="default" w:ascii="宋体" w:hAnsi="宋体" w:eastAsia="宋体"/>
          <w:bCs/>
          <w:sz w:val="24"/>
          <w:lang w:val="en-US" w:eastAsia="zh-CN"/>
        </w:rPr>
      </w:pPr>
      <w:r>
        <w:rPr>
          <w:rFonts w:hint="eastAsia" w:ascii="宋体" w:hAnsi="宋体"/>
          <w:bCs/>
          <w:sz w:val="24"/>
        </w:rPr>
        <w:t>专业代码：</w:t>
      </w:r>
      <w:r>
        <w:rPr>
          <w:rFonts w:hint="eastAsia" w:ascii="宋体" w:hAnsi="宋体"/>
          <w:bCs/>
          <w:sz w:val="24"/>
          <w:lang w:val="en-US" w:eastAsia="zh-CN"/>
        </w:rPr>
        <w:t>500603</w:t>
      </w:r>
    </w:p>
    <w:p>
      <w:pPr>
        <w:keepNext/>
        <w:keepLines/>
        <w:snapToGrid w:val="0"/>
        <w:spacing w:before="156" w:beforeLines="50" w:after="156" w:afterLines="50" w:line="440" w:lineRule="exact"/>
        <w:outlineLvl w:val="1"/>
        <w:rPr>
          <w:rFonts w:hint="eastAsia" w:ascii="宋体" w:hAnsi="宋体" w:cs="宋体"/>
          <w:b/>
          <w:bCs/>
          <w:kern w:val="44"/>
          <w:sz w:val="28"/>
          <w:szCs w:val="28"/>
        </w:rPr>
      </w:pPr>
      <w:bookmarkStart w:id="7" w:name="_Toc391645949"/>
      <w:bookmarkStart w:id="8" w:name="_Toc448835373"/>
      <w:r>
        <w:rPr>
          <w:rFonts w:hint="eastAsia" w:ascii="宋体" w:hAnsi="宋体" w:cs="宋体"/>
          <w:b/>
          <w:bCs/>
          <w:kern w:val="44"/>
          <w:sz w:val="28"/>
          <w:szCs w:val="28"/>
        </w:rPr>
        <w:t>二、</w:t>
      </w:r>
      <w:bookmarkEnd w:id="5"/>
      <w:bookmarkEnd w:id="6"/>
      <w:bookmarkEnd w:id="7"/>
      <w:bookmarkEnd w:id="8"/>
      <w:r>
        <w:rPr>
          <w:rFonts w:hint="eastAsia" w:ascii="宋体" w:hAnsi="宋体" w:cs="宋体"/>
          <w:b/>
          <w:bCs/>
          <w:kern w:val="44"/>
          <w:sz w:val="28"/>
          <w:szCs w:val="28"/>
        </w:rPr>
        <w:t>入学要求</w:t>
      </w:r>
    </w:p>
    <w:p>
      <w:pPr>
        <w:snapToGrid w:val="0"/>
        <w:spacing w:line="440" w:lineRule="exact"/>
        <w:ind w:firstLine="480" w:firstLineChars="200"/>
        <w:rPr>
          <w:rFonts w:ascii="宋体"/>
          <w:bCs/>
          <w:sz w:val="24"/>
        </w:rPr>
      </w:pPr>
      <w:r>
        <w:rPr>
          <w:rFonts w:hint="eastAsia" w:ascii="宋体" w:hAnsi="宋体"/>
          <w:bCs/>
          <w:sz w:val="24"/>
        </w:rPr>
        <w:t>初中毕业生或具有同等学力者</w:t>
      </w:r>
    </w:p>
    <w:p>
      <w:pPr>
        <w:keepNext/>
        <w:keepLines/>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rPr>
        <w:t>三、修业年限</w:t>
      </w:r>
    </w:p>
    <w:p>
      <w:pPr>
        <w:snapToGrid w:val="0"/>
        <w:spacing w:line="440" w:lineRule="exact"/>
        <w:ind w:firstLine="480" w:firstLineChars="200"/>
        <w:rPr>
          <w:rFonts w:ascii="宋体"/>
          <w:bCs/>
          <w:sz w:val="24"/>
        </w:rPr>
      </w:pPr>
      <w:r>
        <w:rPr>
          <w:rFonts w:ascii="宋体" w:hAnsi="宋体"/>
          <w:bCs/>
          <w:sz w:val="24"/>
        </w:rPr>
        <w:t>5</w:t>
      </w:r>
      <w:r>
        <w:rPr>
          <w:rFonts w:hint="eastAsia" w:ascii="宋体" w:hAnsi="宋体"/>
          <w:bCs/>
          <w:sz w:val="24"/>
        </w:rPr>
        <w:t>年</w:t>
      </w:r>
    </w:p>
    <w:p>
      <w:pPr>
        <w:keepNext/>
        <w:keepLines/>
        <w:snapToGrid w:val="0"/>
        <w:spacing w:before="156" w:beforeLines="50" w:after="156" w:afterLines="50" w:line="440" w:lineRule="exact"/>
        <w:outlineLvl w:val="1"/>
        <w:rPr>
          <w:rFonts w:hint="eastAsia" w:ascii="宋体" w:hAnsi="宋体" w:cs="宋体"/>
          <w:b/>
          <w:bCs/>
          <w:kern w:val="44"/>
          <w:sz w:val="28"/>
          <w:szCs w:val="28"/>
        </w:rPr>
      </w:pPr>
      <w:bookmarkStart w:id="9" w:name="_Toc288748868"/>
      <w:bookmarkStart w:id="10" w:name="_Toc391645950"/>
      <w:bookmarkStart w:id="11" w:name="_Toc391628730"/>
      <w:bookmarkStart w:id="12" w:name="_Toc415846067"/>
      <w:bookmarkStart w:id="13" w:name="_Toc448835374"/>
      <w:bookmarkStart w:id="14" w:name="_Toc288748870"/>
      <w:r>
        <w:rPr>
          <w:rFonts w:hint="eastAsia" w:ascii="宋体" w:hAnsi="宋体" w:cs="宋体"/>
          <w:b/>
          <w:bCs/>
          <w:kern w:val="44"/>
          <w:sz w:val="28"/>
          <w:szCs w:val="28"/>
        </w:rPr>
        <w:t>四、职业面向</w:t>
      </w:r>
    </w:p>
    <w:tbl>
      <w:tblPr>
        <w:tblStyle w:val="24"/>
        <w:tblpPr w:leftFromText="180" w:rightFromText="180" w:vertAnchor="text" w:horzAnchor="margin" w:tblpXSpec="center" w:tblpY="67"/>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1114"/>
        <w:gridCol w:w="1418"/>
        <w:gridCol w:w="1638"/>
        <w:gridCol w:w="2046"/>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blHeader/>
        </w:trPr>
        <w:tc>
          <w:tcPr>
            <w:tcW w:w="1405"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所属专业大类（代码）</w:t>
            </w:r>
          </w:p>
        </w:tc>
        <w:tc>
          <w:tcPr>
            <w:tcW w:w="1114"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所属专业类（代码）</w:t>
            </w:r>
          </w:p>
        </w:tc>
        <w:tc>
          <w:tcPr>
            <w:tcW w:w="1418"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对应行业</w:t>
            </w:r>
          </w:p>
          <w:p>
            <w:pPr>
              <w:spacing w:line="360" w:lineRule="exact"/>
              <w:jc w:val="center"/>
              <w:rPr>
                <w:rFonts w:ascii="宋体" w:hAnsi="宋体" w:cs="Tahoma"/>
                <w:b/>
                <w:bCs/>
                <w:kern w:val="0"/>
                <w:szCs w:val="21"/>
              </w:rPr>
            </w:pPr>
            <w:r>
              <w:rPr>
                <w:rFonts w:hint="eastAsia" w:ascii="宋体" w:hAnsi="宋体" w:cs="Tahoma"/>
                <w:b/>
                <w:bCs/>
                <w:kern w:val="0"/>
                <w:szCs w:val="21"/>
              </w:rPr>
              <w:t>（代码）</w:t>
            </w:r>
          </w:p>
        </w:tc>
        <w:tc>
          <w:tcPr>
            <w:tcW w:w="1638"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主要职业类别</w:t>
            </w:r>
          </w:p>
          <w:p>
            <w:pPr>
              <w:spacing w:line="360" w:lineRule="exact"/>
              <w:jc w:val="center"/>
              <w:rPr>
                <w:rFonts w:ascii="宋体" w:hAnsi="宋体" w:cs="Tahoma"/>
                <w:b/>
                <w:bCs/>
                <w:kern w:val="0"/>
                <w:szCs w:val="21"/>
              </w:rPr>
            </w:pPr>
            <w:r>
              <w:rPr>
                <w:rFonts w:hint="eastAsia" w:ascii="宋体" w:hAnsi="宋体" w:cs="Tahoma"/>
                <w:b/>
                <w:bCs/>
                <w:kern w:val="0"/>
                <w:szCs w:val="21"/>
              </w:rPr>
              <w:t>（代码）</w:t>
            </w:r>
          </w:p>
        </w:tc>
        <w:tc>
          <w:tcPr>
            <w:tcW w:w="2046"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主要岗位类别（或技术领域）</w:t>
            </w:r>
          </w:p>
        </w:tc>
        <w:tc>
          <w:tcPr>
            <w:tcW w:w="1949" w:type="dxa"/>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职业技能等级证书或行业企业标准和证书举例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5" w:hRule="exact"/>
        </w:trPr>
        <w:tc>
          <w:tcPr>
            <w:tcW w:w="1405" w:type="dxa"/>
            <w:vAlign w:val="center"/>
          </w:tcPr>
          <w:p>
            <w:pPr>
              <w:snapToGrid w:val="0"/>
              <w:spacing w:line="360" w:lineRule="auto"/>
              <w:rPr>
                <w:rFonts w:ascii="宋体" w:hAnsi="宋体" w:cs="Tahoma"/>
                <w:bCs/>
                <w:kern w:val="0"/>
                <w:szCs w:val="21"/>
              </w:rPr>
            </w:pPr>
            <w:r>
              <w:rPr>
                <w:rFonts w:hint="eastAsia" w:ascii="宋体" w:hAnsi="宋体" w:cs="Tahoma"/>
                <w:bCs/>
                <w:kern w:val="0"/>
                <w:szCs w:val="21"/>
                <w:lang w:val="en-US" w:eastAsia="zh-CN"/>
              </w:rPr>
              <w:t>50</w:t>
            </w:r>
            <w:r>
              <w:rPr>
                <w:rFonts w:hint="eastAsia" w:ascii="宋体" w:hAnsi="宋体" w:cs="Tahoma"/>
                <w:bCs/>
                <w:kern w:val="0"/>
                <w:szCs w:val="21"/>
              </w:rPr>
              <w:t>交通运输大类</w:t>
            </w:r>
          </w:p>
        </w:tc>
        <w:tc>
          <w:tcPr>
            <w:tcW w:w="1114" w:type="dxa"/>
            <w:vAlign w:val="center"/>
          </w:tcPr>
          <w:p>
            <w:pPr>
              <w:snapToGrid w:val="0"/>
              <w:spacing w:line="360" w:lineRule="auto"/>
              <w:jc w:val="center"/>
              <w:rPr>
                <w:rFonts w:ascii="宋体" w:hAnsi="宋体" w:cs="Tahoma"/>
                <w:bCs/>
                <w:kern w:val="0"/>
                <w:szCs w:val="21"/>
              </w:rPr>
            </w:pPr>
            <w:r>
              <w:rPr>
                <w:rFonts w:hint="eastAsia" w:ascii="宋体" w:hAnsi="宋体" w:cs="Tahoma"/>
                <w:bCs/>
                <w:kern w:val="0"/>
                <w:szCs w:val="21"/>
                <w:lang w:val="en-US" w:eastAsia="zh-CN"/>
              </w:rPr>
              <w:t>5</w:t>
            </w:r>
            <w:r>
              <w:rPr>
                <w:rFonts w:ascii="宋体" w:hAnsi="宋体" w:cs="Tahoma"/>
                <w:bCs/>
                <w:kern w:val="0"/>
                <w:szCs w:val="21"/>
              </w:rPr>
              <w:t>006</w:t>
            </w:r>
            <w:r>
              <w:rPr>
                <w:rFonts w:hint="eastAsia" w:ascii="宋体" w:hAnsi="宋体" w:cs="Tahoma"/>
                <w:bCs/>
                <w:kern w:val="0"/>
                <w:szCs w:val="21"/>
              </w:rPr>
              <w:t>城市轨道交通类</w:t>
            </w:r>
          </w:p>
        </w:tc>
        <w:tc>
          <w:tcPr>
            <w:tcW w:w="1418" w:type="dxa"/>
            <w:vAlign w:val="center"/>
          </w:tcPr>
          <w:p>
            <w:pPr>
              <w:snapToGrid w:val="0"/>
              <w:spacing w:line="360" w:lineRule="auto"/>
              <w:rPr>
                <w:rFonts w:ascii="宋体" w:hAnsi="宋体" w:cs="Tahoma"/>
                <w:bCs/>
                <w:kern w:val="0"/>
                <w:szCs w:val="21"/>
              </w:rPr>
            </w:pPr>
            <w:r>
              <w:rPr>
                <w:rFonts w:hint="eastAsia" w:ascii="宋体" w:hAnsi="宋体" w:cs="Tahoma"/>
                <w:bCs/>
                <w:kern w:val="0"/>
                <w:szCs w:val="21"/>
              </w:rPr>
              <w:t>G交通运输、仓储和邮政业/54道路运输业/541城市公共交通运输/ 5412 城市轨道交通</w:t>
            </w:r>
          </w:p>
        </w:tc>
        <w:tc>
          <w:tcPr>
            <w:tcW w:w="1638" w:type="dxa"/>
            <w:vAlign w:val="center"/>
          </w:tcPr>
          <w:p>
            <w:pPr>
              <w:snapToGrid w:val="0"/>
              <w:spacing w:line="360" w:lineRule="auto"/>
              <w:jc w:val="center"/>
              <w:rPr>
                <w:rFonts w:ascii="宋体" w:hAnsi="宋体" w:cs="Tahoma"/>
                <w:bCs/>
                <w:kern w:val="0"/>
                <w:szCs w:val="21"/>
              </w:rPr>
            </w:pPr>
            <w:r>
              <w:rPr>
                <w:rFonts w:ascii="宋体" w:hAnsi="宋体" w:cs="Tahoma"/>
                <w:bCs/>
                <w:kern w:val="0"/>
                <w:szCs w:val="21"/>
              </w:rPr>
              <w:t>6-3</w:t>
            </w:r>
            <w:r>
              <w:rPr>
                <w:rFonts w:hint="eastAsia" w:ascii="宋体" w:hAnsi="宋体" w:cs="Tahoma"/>
                <w:bCs/>
                <w:kern w:val="0"/>
                <w:szCs w:val="21"/>
              </w:rPr>
              <w:t>1</w:t>
            </w:r>
            <w:r>
              <w:rPr>
                <w:rFonts w:ascii="宋体" w:hAnsi="宋体" w:cs="Tahoma"/>
                <w:bCs/>
                <w:kern w:val="0"/>
                <w:szCs w:val="21"/>
              </w:rPr>
              <w:t>-0</w:t>
            </w:r>
            <w:r>
              <w:rPr>
                <w:rFonts w:hint="eastAsia" w:ascii="宋体" w:hAnsi="宋体" w:cs="Tahoma"/>
                <w:bCs/>
                <w:kern w:val="0"/>
                <w:szCs w:val="21"/>
              </w:rPr>
              <w:t>1机械设备修理人员、</w:t>
            </w:r>
          </w:p>
          <w:p>
            <w:pPr>
              <w:snapToGrid w:val="0"/>
              <w:spacing w:line="360" w:lineRule="auto"/>
              <w:jc w:val="center"/>
              <w:rPr>
                <w:rFonts w:ascii="宋体" w:hAnsi="宋体" w:cs="Tahoma"/>
                <w:bCs/>
                <w:kern w:val="0"/>
                <w:szCs w:val="21"/>
              </w:rPr>
            </w:pPr>
            <w:r>
              <w:rPr>
                <w:rFonts w:ascii="宋体" w:hAnsi="宋体" w:cs="Tahoma"/>
                <w:bCs/>
                <w:kern w:val="0"/>
                <w:szCs w:val="21"/>
              </w:rPr>
              <w:t>6-30-02</w:t>
            </w:r>
            <w:r>
              <w:rPr>
                <w:rFonts w:hint="eastAsia" w:ascii="宋体" w:hAnsi="宋体" w:cs="Tahoma"/>
                <w:bCs/>
                <w:kern w:val="0"/>
                <w:szCs w:val="21"/>
              </w:rPr>
              <w:t>轨道交通运输机械设备操作人员、</w:t>
            </w:r>
          </w:p>
          <w:p>
            <w:pPr>
              <w:snapToGrid w:val="0"/>
              <w:spacing w:line="360" w:lineRule="auto"/>
              <w:jc w:val="center"/>
              <w:rPr>
                <w:rFonts w:ascii="宋体" w:hAnsi="宋体" w:cs="Tahoma"/>
                <w:bCs/>
                <w:kern w:val="0"/>
                <w:szCs w:val="21"/>
              </w:rPr>
            </w:pPr>
            <w:r>
              <w:rPr>
                <w:rFonts w:ascii="宋体" w:hAnsi="宋体" w:cs="Tahoma"/>
                <w:bCs/>
                <w:kern w:val="0"/>
                <w:szCs w:val="21"/>
              </w:rPr>
              <w:t>6-</w:t>
            </w:r>
            <w:r>
              <w:rPr>
                <w:rFonts w:hint="eastAsia" w:ascii="宋体" w:hAnsi="宋体" w:cs="Tahoma"/>
                <w:bCs/>
                <w:kern w:val="0"/>
                <w:szCs w:val="21"/>
              </w:rPr>
              <w:t>23</w:t>
            </w:r>
            <w:r>
              <w:rPr>
                <w:rFonts w:ascii="宋体" w:hAnsi="宋体" w:cs="Tahoma"/>
                <w:bCs/>
                <w:kern w:val="0"/>
                <w:szCs w:val="21"/>
              </w:rPr>
              <w:t>-0</w:t>
            </w:r>
            <w:r>
              <w:rPr>
                <w:rFonts w:hint="eastAsia" w:ascii="宋体" w:hAnsi="宋体" w:cs="Tahoma"/>
                <w:bCs/>
                <w:kern w:val="0"/>
                <w:szCs w:val="21"/>
              </w:rPr>
              <w:t>1轨道交通运输设备制造人员</w:t>
            </w:r>
          </w:p>
        </w:tc>
        <w:tc>
          <w:tcPr>
            <w:tcW w:w="2046" w:type="dxa"/>
            <w:vAlign w:val="center"/>
          </w:tcPr>
          <w:p>
            <w:pPr>
              <w:snapToGrid w:val="0"/>
              <w:spacing w:line="360" w:lineRule="auto"/>
              <w:jc w:val="left"/>
              <w:rPr>
                <w:rFonts w:ascii="宋体" w:hAnsi="宋体" w:cs="Tahoma"/>
                <w:bCs/>
                <w:kern w:val="0"/>
                <w:szCs w:val="21"/>
              </w:rPr>
            </w:pPr>
            <w:r>
              <w:rPr>
                <w:rFonts w:hint="eastAsia" w:ascii="宋体" w:hAnsi="宋体" w:cs="Tahoma"/>
                <w:bCs/>
                <w:kern w:val="0"/>
                <w:szCs w:val="21"/>
              </w:rPr>
              <w:t>电扶梯及屏蔽门检修、低压配电及照明系统检修、城轨综合监控系统检修、自动售检票系统检修、城轨环控与消控系统检修、轨道交通运输设备生产与制造。</w:t>
            </w:r>
          </w:p>
        </w:tc>
        <w:tc>
          <w:tcPr>
            <w:tcW w:w="1949" w:type="dxa"/>
            <w:vAlign w:val="center"/>
          </w:tcPr>
          <w:p>
            <w:pPr>
              <w:snapToGrid w:val="0"/>
              <w:spacing w:line="360" w:lineRule="auto"/>
              <w:jc w:val="center"/>
              <w:rPr>
                <w:rFonts w:ascii="宋体" w:hAnsi="宋体" w:cs="Tahoma"/>
                <w:bCs/>
                <w:kern w:val="0"/>
                <w:szCs w:val="21"/>
              </w:rPr>
            </w:pPr>
            <w:r>
              <w:rPr>
                <w:rFonts w:hint="eastAsia" w:ascii="宋体" w:hAnsi="宋体" w:cs="Tahoma"/>
                <w:bCs/>
                <w:kern w:val="0"/>
                <w:szCs w:val="21"/>
              </w:rPr>
              <w:t>电工证（中级）</w:t>
            </w:r>
          </w:p>
          <w:p>
            <w:pPr>
              <w:snapToGrid w:val="0"/>
              <w:spacing w:line="360" w:lineRule="auto"/>
              <w:jc w:val="center"/>
              <w:rPr>
                <w:rFonts w:ascii="宋体" w:hAnsi="宋体" w:cs="Tahoma"/>
                <w:bCs/>
                <w:kern w:val="0"/>
                <w:szCs w:val="21"/>
              </w:rPr>
            </w:pPr>
            <w:r>
              <w:rPr>
                <w:rFonts w:hint="eastAsia" w:ascii="宋体" w:hAnsi="宋体" w:cs="Tahoma"/>
                <w:bCs/>
                <w:kern w:val="0"/>
                <w:szCs w:val="21"/>
              </w:rPr>
              <w:t>低压电工作业证</w:t>
            </w:r>
          </w:p>
          <w:p>
            <w:pPr>
              <w:snapToGrid w:val="0"/>
              <w:spacing w:line="360" w:lineRule="auto"/>
              <w:jc w:val="center"/>
              <w:rPr>
                <w:rFonts w:ascii="宋体" w:hAnsi="宋体" w:cs="Tahoma"/>
                <w:bCs/>
                <w:kern w:val="0"/>
                <w:szCs w:val="21"/>
              </w:rPr>
            </w:pPr>
            <w:r>
              <w:rPr>
                <w:rFonts w:hint="eastAsia" w:ascii="宋体" w:hAnsi="宋体" w:cs="Tahoma"/>
                <w:bCs/>
                <w:kern w:val="0"/>
                <w:szCs w:val="21"/>
              </w:rPr>
              <w:t>轨道交通电气设备装调实训(中级)</w:t>
            </w:r>
            <w:r>
              <w:rPr>
                <w:rFonts w:ascii="宋体" w:hAnsi="宋体" w:cs="Tahoma"/>
                <w:bCs/>
                <w:kern w:val="0"/>
                <w:szCs w:val="21"/>
              </w:rPr>
              <w:t>职业</w:t>
            </w:r>
            <w:r>
              <w:rPr>
                <w:rFonts w:hint="eastAsia" w:ascii="宋体" w:hAnsi="宋体" w:cs="Tahoma"/>
                <w:bCs/>
                <w:kern w:val="0"/>
                <w:szCs w:val="21"/>
              </w:rPr>
              <w:t>技能</w:t>
            </w:r>
            <w:r>
              <w:rPr>
                <w:rFonts w:ascii="宋体" w:hAnsi="宋体" w:cs="Tahoma"/>
                <w:bCs/>
                <w:kern w:val="0"/>
                <w:szCs w:val="21"/>
              </w:rPr>
              <w:t>等级证书</w:t>
            </w:r>
          </w:p>
        </w:tc>
      </w:tr>
    </w:tbl>
    <w:p>
      <w:pPr>
        <w:keepNext/>
        <w:keepLines/>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lang w:val="en-US" w:eastAsia="zh-CN"/>
        </w:rPr>
        <w:t>五、</w:t>
      </w:r>
      <w:r>
        <w:rPr>
          <w:rFonts w:hint="eastAsia" w:ascii="宋体" w:hAnsi="宋体" w:cs="宋体"/>
          <w:b/>
          <w:bCs/>
          <w:kern w:val="44"/>
          <w:sz w:val="28"/>
          <w:szCs w:val="28"/>
        </w:rPr>
        <w:t>培养目标与培养规格</w:t>
      </w:r>
    </w:p>
    <w:p>
      <w:pPr>
        <w:keepNext/>
        <w:keepLines/>
        <w:snapToGrid w:val="0"/>
        <w:spacing w:before="156" w:beforeLines="50" w:after="156" w:afterLines="50" w:line="440" w:lineRule="exact"/>
        <w:ind w:firstLine="419" w:firstLineChars="174"/>
        <w:outlineLvl w:val="2"/>
        <w:rPr>
          <w:rFonts w:hint="eastAsia" w:ascii="宋体" w:hAnsi="宋体" w:cs="宋体"/>
          <w:b/>
          <w:bCs/>
          <w:kern w:val="44"/>
          <w:sz w:val="24"/>
        </w:rPr>
      </w:pPr>
      <w:r>
        <w:rPr>
          <w:rFonts w:hint="eastAsia" w:ascii="宋体" w:hAnsi="宋体" w:cs="宋体"/>
          <w:b/>
          <w:bCs/>
          <w:kern w:val="44"/>
          <w:sz w:val="24"/>
        </w:rPr>
        <w:t>（一）培养目标</w:t>
      </w:r>
    </w:p>
    <w:p>
      <w:pPr>
        <w:spacing w:line="440" w:lineRule="exact"/>
        <w:ind w:firstLine="480" w:firstLineChars="200"/>
        <w:rPr>
          <w:rFonts w:ascii="宋体" w:hAnsi="宋体"/>
          <w:bCs/>
          <w:sz w:val="24"/>
        </w:rPr>
      </w:pPr>
      <w:r>
        <w:rPr>
          <w:rFonts w:hint="eastAsia" w:ascii="宋体" w:hAnsi="宋体"/>
          <w:bCs/>
          <w:sz w:val="24"/>
        </w:rPr>
        <w:t>本专业立足浙江省城市轨道交通建设发展和经济社会发展对专业人才的需求，对接轨道交通产业，依托城市轨道交通运输和设备制造企业或相关行业，与轨道交通类企业合作，培养坚定的理想信念，德、智、体、美、劳全面发展，具有一定的科学文化水平，良好的人文素养、职业道德和创新意识，精益求精的工匠精神，较强的就业能力和可持续发展的能力。服务于城市轨道交通地铁车站和设备制造一线岗位，负责机电设备运行监控与管理、设备维护与保全和设备制造工作，具备城市轨道交通机电技术专业领域必备的基础理论知识和专业知识，以及较强的学习能力、适应能力及安全意识。掌握相关规章制度、操作流程及故障应急处理等本专业知识和技术技能，能够在城市轨道交通运输和设备制造企业或相关行业职业领域从事城市轨道交通地铁车站电扶梯及屏蔽门系统检修、低压配电及照明系统检修、综合监控系统检修、自动售检票系统检修、环控与消控系统检修、轨道交通运输设备生产与制造等岗位基本技能的高素质技术技能人才。</w:t>
      </w:r>
    </w:p>
    <w:p>
      <w:pPr>
        <w:keepNext/>
        <w:keepLines/>
        <w:snapToGrid w:val="0"/>
        <w:spacing w:before="156" w:beforeLines="50" w:after="156" w:afterLines="50" w:line="440" w:lineRule="exact"/>
        <w:ind w:firstLine="419" w:firstLineChars="174"/>
        <w:outlineLvl w:val="2"/>
        <w:rPr>
          <w:rFonts w:hint="eastAsia" w:ascii="宋体" w:hAnsi="宋体" w:cs="宋体"/>
          <w:b/>
          <w:bCs/>
          <w:kern w:val="44"/>
          <w:sz w:val="24"/>
        </w:rPr>
      </w:pPr>
      <w:r>
        <w:rPr>
          <w:rFonts w:hint="eastAsia" w:ascii="宋体" w:hAnsi="宋体" w:cs="宋体"/>
          <w:b/>
          <w:bCs/>
          <w:kern w:val="44"/>
          <w:sz w:val="24"/>
        </w:rPr>
        <w:t>（二）培养规格</w:t>
      </w:r>
    </w:p>
    <w:p>
      <w:pPr>
        <w:snapToGrid w:val="0"/>
        <w:spacing w:line="440" w:lineRule="exact"/>
        <w:ind w:firstLine="480" w:firstLineChars="200"/>
        <w:rPr>
          <w:rFonts w:ascii="宋体" w:hAnsi="宋体"/>
          <w:bCs/>
          <w:sz w:val="24"/>
        </w:rPr>
      </w:pPr>
      <w:r>
        <w:rPr>
          <w:rFonts w:hint="eastAsia" w:ascii="宋体" w:hAnsi="宋体"/>
          <w:bCs/>
          <w:sz w:val="24"/>
        </w:rPr>
        <w:t>本专业学生应掌握轨道交通机电设备运行监控与管理、设备维护与保全和设备生产与制造等基本知识。</w:t>
      </w:r>
    </w:p>
    <w:tbl>
      <w:tblPr>
        <w:tblStyle w:val="2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60" w:type="dxa"/>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素质要求</w:t>
            </w:r>
          </w:p>
        </w:tc>
        <w:tc>
          <w:tcPr>
            <w:tcW w:w="8010" w:type="dxa"/>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1）坚定拥护中国共产党领导和我国社会主义制度，在习近平新时代中国特色社会主义思想指引下，践行社会主义核心价值观，具有深厚的爱国情感和中华民族自豪感；</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2）崇尚宪法、遵法守纪、崇德向善、诚实守信、尊重生命、热爱劳动，履行道德准则和行为规范，具有社会责任感和社会参与意识；</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3）具有质量意识、环保意识、安全意识、信息素养、工匠精神、创新思维；</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4）勇于奋斗、乐观向上，具有自我管理能力、职业生涯规划的意识，有较强的集体意识和团队合作精神；</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5）具有健康的体魄、心理和健全的人格，掌握基本运动知识和一两项运动技能，养成良好的健身与卫生习惯，良好的行为习惯；</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cs="宋体"/>
                <w:kern w:val="0"/>
                <w:szCs w:val="21"/>
              </w:rPr>
            </w:pPr>
            <w:r>
              <w:rPr>
                <w:rFonts w:hint="eastAsia" w:ascii="宋体" w:hAnsi="宋体" w:cs="宋体"/>
                <w:kern w:val="0"/>
                <w:szCs w:val="21"/>
              </w:rPr>
              <w:t>（</w:t>
            </w:r>
            <w:r>
              <w:rPr>
                <w:rFonts w:ascii="宋体" w:hAnsi="宋体" w:cs="宋体"/>
                <w:kern w:val="0"/>
                <w:szCs w:val="21"/>
              </w:rPr>
              <w:t>6）具有一定的审美和人文素养，能够形成一两项艺术特长或爱好。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60" w:type="dxa"/>
            <w:vMerge w:val="continue"/>
            <w:vAlign w:val="center"/>
          </w:tcPr>
          <w:p>
            <w:pPr>
              <w:widowControl/>
              <w:spacing w:line="360" w:lineRule="auto"/>
              <w:jc w:val="left"/>
              <w:rPr>
                <w:rFonts w:ascii="宋体" w:hAnsi="宋体" w:cs="宋体"/>
                <w:kern w:val="0"/>
                <w:szCs w:val="21"/>
              </w:rPr>
            </w:pPr>
          </w:p>
        </w:tc>
        <w:tc>
          <w:tcPr>
            <w:tcW w:w="8010" w:type="dxa"/>
            <w:vMerge w:val="continue"/>
            <w:vAlign w:val="center"/>
          </w:tcPr>
          <w:p>
            <w:pPr>
              <w:widowControl/>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60" w:type="dxa"/>
            <w:vMerge w:val="continue"/>
            <w:vAlign w:val="center"/>
          </w:tcPr>
          <w:p>
            <w:pPr>
              <w:widowControl/>
              <w:spacing w:line="360" w:lineRule="auto"/>
              <w:jc w:val="left"/>
              <w:rPr>
                <w:rFonts w:ascii="宋体" w:hAnsi="宋体" w:cs="宋体"/>
                <w:kern w:val="0"/>
                <w:szCs w:val="21"/>
              </w:rPr>
            </w:pPr>
          </w:p>
        </w:tc>
        <w:tc>
          <w:tcPr>
            <w:tcW w:w="8010" w:type="dxa"/>
            <w:vMerge w:val="continue"/>
            <w:vAlign w:val="center"/>
          </w:tcPr>
          <w:p>
            <w:pPr>
              <w:widowControl/>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1560" w:type="dxa"/>
            <w:vMerge w:val="continue"/>
            <w:vAlign w:val="center"/>
          </w:tcPr>
          <w:p>
            <w:pPr>
              <w:widowControl/>
              <w:spacing w:line="360" w:lineRule="auto"/>
              <w:jc w:val="left"/>
              <w:rPr>
                <w:rFonts w:ascii="宋体" w:hAnsi="宋体" w:cs="宋体"/>
                <w:kern w:val="0"/>
                <w:szCs w:val="21"/>
              </w:rPr>
            </w:pPr>
          </w:p>
        </w:tc>
        <w:tc>
          <w:tcPr>
            <w:tcW w:w="8010" w:type="dxa"/>
            <w:vMerge w:val="continue"/>
            <w:vAlign w:val="center"/>
          </w:tcPr>
          <w:p>
            <w:pPr>
              <w:widowControl/>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1" w:hRule="atLeast"/>
          <w:jc w:val="center"/>
        </w:trPr>
        <w:tc>
          <w:tcPr>
            <w:tcW w:w="156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知识要求</w:t>
            </w:r>
          </w:p>
        </w:tc>
        <w:tc>
          <w:tcPr>
            <w:tcW w:w="8010"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 xml:space="preserve">1）掌握必备的思想政治理论、科学文化基础知识和中华优秀传统文化知识； </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2）熟悉与本专业相关的法律法规以及环境保护、安全消防、文明生产等相关知识；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3）掌握城市轨道交通车站机电类设备机械设计基础知识；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4）掌握城市轨道交通车站机电类设备安全管理的基础知识，并掌握站内常用服务礼仪与沟通技巧、管理等基本知识；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5）掌握城市轨道交通车站机电类设备电工、电子技术的基本知识及其相关安全知识</w:t>
            </w:r>
            <w:r>
              <w:rPr>
                <w:rFonts w:hint="eastAsia" w:ascii="宋体" w:hAnsi="宋体" w:cs="宋体"/>
                <w:kern w:val="0"/>
                <w:szCs w:val="21"/>
              </w:rPr>
              <w:t>；</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6）掌握PLC应用和自动化生产线维护维修的基础知识；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7）掌握城市轨道交通车站机电设备相关的计算机网络技术的相关知识；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8）具备城市轨道交通车站机电类设备电子测量和传感器技术基础知识；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9）掌握城市轨道交通车站机电类设备的结构及其原理；</w:t>
            </w:r>
          </w:p>
          <w:p>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10）掌握城市轨道交通车站机电类设备突发故障应急处置的预案及基本处置方法。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jc w:val="center"/>
        </w:trPr>
        <w:tc>
          <w:tcPr>
            <w:tcW w:w="156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能力要求</w:t>
            </w:r>
          </w:p>
        </w:tc>
        <w:tc>
          <w:tcPr>
            <w:tcW w:w="8010" w:type="dxa"/>
            <w:vAlign w:val="center"/>
          </w:tcPr>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1）具有探究学习、终身学习、分析问题和解决问题的能力；</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2）具有良好的语言、文字表达能力和沟通能力；</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3）具有本专业必需的信息技术应用和维护能力；</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4）能熟记城市轨道交通法规和文明礼仪基本操作</w:t>
            </w:r>
            <w:r>
              <w:rPr>
                <w:rFonts w:hint="eastAsia" w:ascii="宋体" w:hAnsi="宋体" w:cs="宋体"/>
                <w:kern w:val="0"/>
                <w:szCs w:val="21"/>
              </w:rPr>
              <w:t>；</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5）能识别城市轨道交通车站机电类设备CAD工程图纸，绘制一般工程图</w:t>
            </w:r>
            <w:r>
              <w:rPr>
                <w:rFonts w:hint="eastAsia" w:ascii="宋体" w:hAnsi="宋体" w:cs="宋体"/>
                <w:kern w:val="0"/>
                <w:szCs w:val="21"/>
              </w:rPr>
              <w:t>；</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6）能读懂城市轨道交通车站机电类设备电机电气控制原理图；</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7）能进行城市轨道交通车站机电类设备PLC相关的工程应用，并</w:t>
            </w:r>
            <w:r>
              <w:rPr>
                <w:rFonts w:hint="eastAsia" w:ascii="宋体" w:hAnsi="宋体"/>
                <w:bCs/>
                <w:szCs w:val="21"/>
              </w:rPr>
              <w:t>对自动化生产线进行维护维修</w:t>
            </w:r>
            <w:r>
              <w:rPr>
                <w:rFonts w:hint="eastAsia" w:ascii="宋体" w:hAnsi="宋体" w:cs="宋体"/>
                <w:kern w:val="0"/>
                <w:szCs w:val="21"/>
              </w:rPr>
              <w:t>；</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bCs/>
                <w:szCs w:val="21"/>
              </w:rPr>
              <w:t>会设计简单的城市轨道交通车站机电类设备自动控制系统；</w:t>
            </w:r>
          </w:p>
          <w:p>
            <w:pPr>
              <w:widowControl/>
              <w:spacing w:line="360" w:lineRule="auto"/>
              <w:rPr>
                <w:rFonts w:ascii="宋体" w:hAnsi="宋体"/>
                <w:bCs/>
                <w:szCs w:val="21"/>
              </w:rPr>
            </w:pPr>
            <w:r>
              <w:rPr>
                <w:rFonts w:hint="eastAsia" w:ascii="宋体" w:hAnsi="宋体"/>
                <w:bCs/>
                <w:szCs w:val="21"/>
              </w:rPr>
              <w:t>（</w:t>
            </w:r>
            <w:r>
              <w:rPr>
                <w:rFonts w:ascii="宋体" w:hAnsi="宋体"/>
                <w:bCs/>
                <w:szCs w:val="21"/>
              </w:rPr>
              <w:t xml:space="preserve">9）能熟练进行城市轨道交通车站机电类设备电气系统的安装与调试； </w:t>
            </w:r>
          </w:p>
          <w:p>
            <w:pPr>
              <w:widowControl/>
              <w:spacing w:line="360" w:lineRule="auto"/>
              <w:rPr>
                <w:rFonts w:ascii="宋体" w:hAnsi="宋体"/>
                <w:bCs/>
                <w:szCs w:val="21"/>
              </w:rPr>
            </w:pPr>
            <w:r>
              <w:rPr>
                <w:rFonts w:hint="eastAsia" w:ascii="宋体" w:hAnsi="宋体"/>
                <w:bCs/>
                <w:szCs w:val="21"/>
              </w:rPr>
              <w:t>（</w:t>
            </w:r>
            <w:r>
              <w:rPr>
                <w:rFonts w:ascii="宋体" w:hAnsi="宋体"/>
                <w:bCs/>
                <w:szCs w:val="21"/>
              </w:rPr>
              <w:t>10）能合理选用城市轨道交通车站机电类设备所需的传感器；</w:t>
            </w:r>
          </w:p>
          <w:p>
            <w:pPr>
              <w:widowControl/>
              <w:spacing w:line="360" w:lineRule="auto"/>
              <w:rPr>
                <w:rFonts w:ascii="宋体" w:hAnsi="宋体"/>
                <w:bCs/>
                <w:szCs w:val="21"/>
              </w:rPr>
            </w:pPr>
            <w:r>
              <w:rPr>
                <w:rFonts w:hint="eastAsia" w:ascii="宋体" w:hAnsi="宋体"/>
                <w:bCs/>
                <w:szCs w:val="21"/>
              </w:rPr>
              <w:t>（</w:t>
            </w:r>
            <w:r>
              <w:rPr>
                <w:rFonts w:ascii="宋体" w:hAnsi="宋体"/>
                <w:bCs/>
                <w:szCs w:val="21"/>
              </w:rPr>
              <w:t>11）</w:t>
            </w:r>
            <w:r>
              <w:rPr>
                <w:rFonts w:hint="eastAsia" w:ascii="宋体" w:hAnsi="宋体" w:cs="宋体"/>
                <w:kern w:val="0"/>
                <w:szCs w:val="21"/>
              </w:rPr>
              <w:t>能进行城市轨道交通车站机电类设备的运行管理与设备维护；</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12）</w:t>
            </w:r>
            <w:r>
              <w:rPr>
                <w:rFonts w:hint="eastAsia" w:ascii="宋体" w:hAnsi="宋体"/>
                <w:bCs/>
                <w:szCs w:val="21"/>
              </w:rPr>
              <w:t>达到中级电工水平和</w:t>
            </w:r>
            <w:r>
              <w:rPr>
                <w:rFonts w:ascii="宋体" w:hAnsi="宋体"/>
                <w:bCs/>
                <w:szCs w:val="21"/>
              </w:rPr>
              <w:t>安全用电</w:t>
            </w:r>
            <w:r>
              <w:rPr>
                <w:rFonts w:hint="eastAsia" w:ascii="宋体" w:hAnsi="宋体"/>
                <w:bCs/>
                <w:szCs w:val="21"/>
              </w:rPr>
              <w:t>的能力</w:t>
            </w:r>
            <w:r>
              <w:rPr>
                <w:rFonts w:ascii="宋体" w:hAnsi="宋体" w:cs="宋体"/>
                <w:kern w:val="0"/>
                <w:szCs w:val="21"/>
              </w:rPr>
              <w:t>。</w:t>
            </w:r>
          </w:p>
        </w:tc>
      </w:tr>
    </w:tbl>
    <w:p>
      <w:pPr>
        <w:keepNext/>
        <w:keepLines/>
        <w:snapToGrid w:val="0"/>
        <w:spacing w:before="156" w:beforeLines="50" w:after="156" w:afterLines="50" w:line="440" w:lineRule="exact"/>
        <w:outlineLvl w:val="1"/>
        <w:rPr>
          <w:rFonts w:ascii="宋体" w:hAnsi="宋体" w:cs="宋体"/>
          <w:b/>
          <w:bCs/>
          <w:kern w:val="44"/>
          <w:sz w:val="28"/>
          <w:szCs w:val="28"/>
        </w:rPr>
      </w:pPr>
      <w:r>
        <w:rPr>
          <w:rFonts w:hint="eastAsia" w:ascii="宋体" w:hAnsi="宋体" w:cs="宋体"/>
          <w:b/>
          <w:bCs/>
          <w:kern w:val="44"/>
          <w:sz w:val="28"/>
          <w:szCs w:val="28"/>
        </w:rPr>
        <w:t>六、人才培养模式与课程体系</w:t>
      </w:r>
    </w:p>
    <w:p>
      <w:pPr>
        <w:keepNext/>
        <w:keepLines/>
        <w:snapToGrid w:val="0"/>
        <w:spacing w:before="156" w:beforeLines="50" w:after="156" w:afterLines="50" w:line="440" w:lineRule="exact"/>
        <w:outlineLvl w:val="2"/>
        <w:rPr>
          <w:rFonts w:ascii="宋体" w:cs="宋体"/>
          <w:b/>
          <w:bCs/>
          <w:kern w:val="44"/>
          <w:sz w:val="24"/>
        </w:rPr>
      </w:pPr>
      <w:r>
        <w:rPr>
          <w:rFonts w:hint="eastAsia" w:ascii="宋体" w:hAnsi="宋体" w:cs="宋体"/>
          <w:b/>
          <w:bCs/>
          <w:kern w:val="44"/>
          <w:sz w:val="24"/>
        </w:rPr>
        <w:t>（一）人才培养模式</w:t>
      </w:r>
    </w:p>
    <w:p>
      <w:pPr>
        <w:snapToGrid w:val="0"/>
        <w:spacing w:line="360" w:lineRule="auto"/>
        <w:ind w:left="-4" w:leftChars="-2" w:firstLine="480" w:firstLineChars="200"/>
        <w:rPr>
          <w:sz w:val="24"/>
        </w:rPr>
      </w:pPr>
      <w:r>
        <w:rPr>
          <w:rFonts w:hint="eastAsia"/>
          <w:sz w:val="24"/>
        </w:rPr>
        <w:t>专业采取产教融合、工学结合、订单培养的专业人才培养模式。城市轨道交通机电技术专业方向工作岗位定位于</w:t>
      </w:r>
      <w:r>
        <w:rPr>
          <w:rFonts w:hint="eastAsia" w:ascii="宋体" w:hAnsi="宋体"/>
          <w:bCs/>
          <w:sz w:val="24"/>
        </w:rPr>
        <w:t>城市轨道交通地铁车站一线从事</w:t>
      </w:r>
      <w:r>
        <w:rPr>
          <w:rFonts w:ascii="宋体" w:hAnsi="宋体"/>
          <w:bCs/>
          <w:sz w:val="24"/>
        </w:rPr>
        <w:t>城轨机电设备运行维护与检修</w:t>
      </w:r>
      <w:r>
        <w:rPr>
          <w:rFonts w:hint="eastAsia" w:ascii="宋体" w:hAnsi="宋体"/>
          <w:bCs/>
          <w:sz w:val="24"/>
        </w:rPr>
        <w:t>和轨道交通运输设备企业设备制造</w:t>
      </w:r>
      <w:r>
        <w:rPr>
          <w:rFonts w:hint="eastAsia"/>
          <w:sz w:val="24"/>
        </w:rPr>
        <w:t>岗位，根据岗位能力需求建立城市轨道交通机电技术的专业课程体系；构建将城轨机电设备检修</w:t>
      </w:r>
      <w:r>
        <w:rPr>
          <w:rFonts w:hint="eastAsia" w:ascii="宋体" w:hAnsi="宋体"/>
          <w:bCs/>
          <w:sz w:val="24"/>
        </w:rPr>
        <w:t>和设备生产与制造</w:t>
      </w:r>
      <w:r>
        <w:rPr>
          <w:rFonts w:hint="eastAsia"/>
          <w:sz w:val="24"/>
        </w:rPr>
        <w:t>岗位的职业素养与创新教育贯穿始终的“课程基础实训、专项技能实训、岗位强化实训、校外实习”四个层次递进的实践教学体系；结合订单培养模式，将学校教学与企业实践有机融合，利用信息化教学手段，提升课堂教学品质，加强复合型人才的培养，为专业中学习能力及主动性强、有追求有目标的学生搭建创新学习平台，采用导师制，通过参与教师横向课题、各类学科竞赛、综合素质项目及创新创业项目等，培养创新设计及开发能力，开展“以学生为中心”的分层分类式项目化教学，共同培养具有创新和实践精神的高素质技术技能人才。</w:t>
      </w:r>
    </w:p>
    <w:p>
      <w:pPr>
        <w:snapToGrid w:val="0"/>
        <w:spacing w:line="360" w:lineRule="auto"/>
        <w:ind w:left="-4" w:leftChars="-2" w:firstLine="480" w:firstLineChars="200"/>
        <w:rPr>
          <w:sz w:val="24"/>
        </w:rPr>
      </w:pPr>
      <w:r>
        <w:rPr>
          <w:rFonts w:hint="eastAsia"/>
          <w:sz w:val="24"/>
        </w:rPr>
        <w:t>第一阶段：通过对接轨道交通行业，尤其与本专业合作开展的各地区地铁公司订单培养要求，学生完成校内理论课程和实训课程的学习。理论课程达到知识必需、够用、面宽，实训课程重视基本操作技能，融“学、导、训、产、研”为一体，达到操作规范、熟练、与岗位零距离对接，考取相关的职业技能证书。</w:t>
      </w:r>
    </w:p>
    <w:p>
      <w:pPr>
        <w:snapToGrid w:val="0"/>
        <w:spacing w:line="360" w:lineRule="auto"/>
        <w:ind w:left="-4" w:leftChars="-2" w:firstLine="480" w:firstLineChars="200"/>
        <w:rPr>
          <w:sz w:val="24"/>
        </w:rPr>
      </w:pPr>
      <w:r>
        <w:rPr>
          <w:rFonts w:hint="eastAsia"/>
          <w:sz w:val="24"/>
        </w:rPr>
        <w:t>第二阶段：依据产教融合和现代学徒制背景下的职业教育特点，专业学生到各地铁公司或相关设备制造企业一线顶岗实习，完成顶岗实习和就业，全面提高综合职业技术应用能力和职业综合素质。</w:t>
      </w:r>
    </w:p>
    <w:p>
      <w:pPr>
        <w:keepNext/>
        <w:keepLines/>
        <w:snapToGrid w:val="0"/>
        <w:spacing w:line="360" w:lineRule="auto"/>
        <w:ind w:firstLine="419" w:firstLineChars="174"/>
        <w:outlineLvl w:val="2"/>
        <w:rPr>
          <w:rFonts w:ascii="宋体" w:hAnsi="宋体" w:cs="宋体"/>
          <w:b/>
          <w:bCs/>
          <w:kern w:val="44"/>
          <w:sz w:val="24"/>
        </w:rPr>
      </w:pPr>
      <w:r>
        <w:rPr>
          <w:rFonts w:hint="eastAsia" w:ascii="宋体" w:hAnsi="宋体" w:cs="宋体"/>
          <w:b/>
          <w:bCs/>
          <w:kern w:val="44"/>
          <w:sz w:val="24"/>
        </w:rPr>
        <w:t>（二）课程体系</w:t>
      </w:r>
    </w:p>
    <w:p>
      <w:pPr>
        <w:keepNext/>
        <w:keepLines/>
        <w:snapToGrid w:val="0"/>
        <w:spacing w:line="360" w:lineRule="auto"/>
        <w:outlineLvl w:val="2"/>
        <w:rPr>
          <w:rFonts w:ascii="宋体" w:hAnsi="宋体" w:cs="宋体"/>
          <w:b/>
          <w:bCs/>
          <w:kern w:val="44"/>
          <w:sz w:val="24"/>
        </w:rPr>
      </w:pPr>
      <w:r>
        <w:rPr>
          <w:rFonts w:hint="eastAsia" w:ascii="宋体" w:cs="宋体"/>
          <w:b/>
          <w:bCs/>
          <w:kern w:val="44"/>
          <w:sz w:val="24"/>
        </w:rPr>
        <w:t>1.课程体系结构图</w:t>
      </w:r>
    </w:p>
    <w:p>
      <w:pPr>
        <w:snapToGrid w:val="0"/>
        <w:spacing w:line="360" w:lineRule="auto"/>
        <w:ind w:left="-4" w:leftChars="-2" w:firstLine="480" w:firstLineChars="200"/>
        <w:rPr>
          <w:sz w:val="24"/>
        </w:rPr>
      </w:pPr>
      <w:r>
        <w:rPr>
          <w:rFonts w:hint="eastAsia"/>
          <w:sz w:val="24"/>
        </w:rPr>
        <w:t>根据岗位工作任务与职业能力分析结果，考虑国家教育政策、教育教学规律和学生认知发展规律，重点关注城轨</w:t>
      </w:r>
      <w:r>
        <w:rPr>
          <w:rFonts w:ascii="宋体" w:hAnsi="宋体"/>
          <w:bCs/>
          <w:sz w:val="24"/>
        </w:rPr>
        <w:t>机电设备运行维护与检修</w:t>
      </w:r>
      <w:r>
        <w:rPr>
          <w:rFonts w:hint="eastAsia"/>
          <w:sz w:val="24"/>
        </w:rPr>
        <w:t>方向岗位的人才需求，构建了如图</w:t>
      </w:r>
      <w:r>
        <w:rPr>
          <w:sz w:val="24"/>
        </w:rPr>
        <w:t>1</w:t>
      </w:r>
      <w:r>
        <w:rPr>
          <w:rFonts w:hint="eastAsia"/>
          <w:sz w:val="24"/>
        </w:rPr>
        <w:t>所示的课程体系结构图。</w:t>
      </w:r>
    </w:p>
    <w:p>
      <w:pPr>
        <w:keepNext w:val="0"/>
        <w:keepLines w:val="0"/>
        <w:widowControl w:val="0"/>
        <w:suppressLineNumbers w:val="0"/>
        <w:snapToGrid w:val="0"/>
        <w:spacing w:before="0" w:beforeAutospacing="0" w:after="0" w:afterAutospacing="0" w:line="360" w:lineRule="auto"/>
        <w:ind w:left="-4" w:leftChars="-2" w:right="0" w:firstLine="480" w:firstLineChars="200"/>
        <w:jc w:val="left"/>
        <w:rPr>
          <w:rFonts w:ascii="宋体" w:hAnsi="宋体"/>
          <w:bCs/>
          <w:sz w:val="24"/>
        </w:rPr>
      </w:pPr>
      <w:r>
        <w:rPr>
          <w:rFonts w:hint="eastAsia" w:ascii="宋体" w:hAnsi="宋体" w:eastAsia="宋体" w:cs="宋体"/>
          <w:bCs/>
          <w:color w:val="000000"/>
          <w:kern w:val="2"/>
          <w:sz w:val="24"/>
          <w:szCs w:val="24"/>
          <w:lang w:val="en-US" w:eastAsia="zh-CN" w:bidi="ar"/>
        </w:rPr>
        <w:t>本课程体系由公共基础课程、专业融通课程、专业核心课程、专业拓展课程构成。公共基础课程和专业融通课程为学生奠定坚实的专业基础平台，为后续专业核心课程、专业拓展课程奠基学习基础，也为学生的可持续发展打下良好基础。专业核心课程为满足学生将来就业岗位的需要，提升学生岗位技能和职业素养。专业拓展课程为丰富学生职业技能，拓展岗位广度而开设。</w:t>
      </w:r>
    </w:p>
    <w:p>
      <w:pPr>
        <w:snapToGrid w:val="0"/>
        <w:spacing w:line="360" w:lineRule="auto"/>
        <w:jc w:val="center"/>
        <w:rPr>
          <w:rFonts w:ascii="宋体" w:hAnsi="宋体"/>
          <w:bCs/>
          <w:color w:val="000000"/>
          <w:sz w:val="24"/>
        </w:rPr>
      </w:pPr>
      <w:r>
        <w:pict>
          <v:shape id="_x0000_i1025" o:spt="75" type="#_x0000_t75" style="height:148.25pt;width:480.3pt;" filled="f" o:preferrelative="t" stroked="f" coordsize="21600,21600">
            <v:path/>
            <v:fill on="f" focussize="0,0"/>
            <v:stroke on="f"/>
            <v:imagedata r:id="rId5" o:title=""/>
            <o:lock v:ext="edit" aspectratio="t"/>
            <w10:wrap type="none"/>
            <w10:anchorlock/>
          </v:shape>
        </w:pict>
      </w:r>
    </w:p>
    <w:p>
      <w:pPr>
        <w:snapToGrid w:val="0"/>
        <w:spacing w:line="440" w:lineRule="exact"/>
        <w:jc w:val="center"/>
        <w:rPr>
          <w:rFonts w:hint="eastAsia" w:ascii="宋体" w:hAnsi="宋体"/>
          <w:b/>
          <w:color w:val="000000"/>
          <w:szCs w:val="21"/>
          <w:highlight w:val="none"/>
        </w:rPr>
      </w:pPr>
      <w:r>
        <w:rPr>
          <w:rFonts w:hint="eastAsia" w:ascii="宋体" w:hAnsi="宋体"/>
          <w:b/>
          <w:color w:val="000000"/>
          <w:szCs w:val="21"/>
          <w:highlight w:val="none"/>
        </w:rPr>
        <w:t>图</w:t>
      </w:r>
      <w:r>
        <w:rPr>
          <w:rFonts w:ascii="宋体" w:hAnsi="宋体"/>
          <w:b/>
          <w:color w:val="000000"/>
          <w:szCs w:val="21"/>
          <w:highlight w:val="none"/>
        </w:rPr>
        <w:t xml:space="preserve">1 </w:t>
      </w:r>
      <w:r>
        <w:rPr>
          <w:rFonts w:hint="eastAsia" w:ascii="宋体" w:hAnsi="宋体"/>
          <w:b/>
          <w:color w:val="000000"/>
          <w:szCs w:val="21"/>
          <w:highlight w:val="none"/>
        </w:rPr>
        <w:t xml:space="preserve"> 课程体系结构图</w:t>
      </w: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snapToGrid w:val="0"/>
        <w:spacing w:line="440" w:lineRule="exact"/>
        <w:jc w:val="center"/>
        <w:rPr>
          <w:rFonts w:hint="eastAsia" w:ascii="宋体" w:hAnsi="宋体"/>
          <w:b/>
          <w:color w:val="000000"/>
          <w:szCs w:val="21"/>
          <w:highlight w:val="none"/>
        </w:rPr>
      </w:pPr>
    </w:p>
    <w:p>
      <w:pPr>
        <w:pStyle w:val="39"/>
        <w:numPr>
          <w:ilvl w:val="0"/>
          <w:numId w:val="0"/>
        </w:numPr>
        <w:snapToGrid w:val="0"/>
        <w:spacing w:before="0" w:after="0" w:line="360" w:lineRule="auto"/>
        <w:jc w:val="both"/>
        <w:outlineLvl w:val="2"/>
        <w:rPr>
          <w:rFonts w:hint="eastAsia" w:ascii="宋体"/>
          <w:sz w:val="24"/>
          <w:szCs w:val="24"/>
        </w:rPr>
      </w:pPr>
      <w:r>
        <w:rPr>
          <w:rFonts w:hint="eastAsia" w:ascii="宋体"/>
          <w:sz w:val="24"/>
          <w:szCs w:val="24"/>
          <w:lang w:val="en-US" w:eastAsia="zh-CN"/>
        </w:rPr>
        <w:t>2.</w:t>
      </w:r>
      <w:r>
        <w:rPr>
          <w:rFonts w:hint="eastAsia" w:ascii="宋体"/>
          <w:sz w:val="24"/>
          <w:szCs w:val="24"/>
        </w:rPr>
        <w:t>公共基础课程</w:t>
      </w:r>
    </w:p>
    <w:tbl>
      <w:tblPr>
        <w:tblStyle w:val="24"/>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84"/>
        <w:gridCol w:w="3316"/>
        <w:gridCol w:w="2957"/>
        <w:gridCol w:w="87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4"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课程性质</w:t>
            </w:r>
          </w:p>
        </w:tc>
        <w:tc>
          <w:tcPr>
            <w:tcW w:w="1284"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课程名称</w:t>
            </w:r>
          </w:p>
        </w:tc>
        <w:tc>
          <w:tcPr>
            <w:tcW w:w="3316"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课程目标</w:t>
            </w:r>
          </w:p>
        </w:tc>
        <w:tc>
          <w:tcPr>
            <w:tcW w:w="2957"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主要教学内容与要求</w:t>
            </w:r>
          </w:p>
        </w:tc>
        <w:tc>
          <w:tcPr>
            <w:tcW w:w="871"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学分/学时</w:t>
            </w:r>
          </w:p>
        </w:tc>
        <w:tc>
          <w:tcPr>
            <w:tcW w:w="655" w:type="dxa"/>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0" w:hRule="atLeast"/>
          <w:jc w:val="center"/>
        </w:trPr>
        <w:tc>
          <w:tcPr>
            <w:tcW w:w="654" w:type="dxa"/>
            <w:vMerge w:val="restar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r>
              <w:rPr>
                <w:rFonts w:hint="eastAsia" w:ascii="宋体" w:hAnsi="宋体"/>
                <w:kern w:val="0"/>
                <w:sz w:val="20"/>
                <w:szCs w:val="20"/>
              </w:rPr>
              <w:t>必修</w:t>
            </w: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语文</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cs="宋体"/>
                <w:color w:val="1E1E1E"/>
                <w:sz w:val="20"/>
                <w:szCs w:val="20"/>
                <w:shd w:val="clear" w:color="auto" w:fill="FFFFFF"/>
              </w:rPr>
              <w:t>了解学习各类文史知识，把握文章写作要领，掌握语言表达技巧，阅读古今名家名篇，扩大阅读面。</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cs="宋体"/>
                <w:color w:val="1E1E1E"/>
                <w:sz w:val="20"/>
                <w:szCs w:val="20"/>
                <w:shd w:val="clear" w:color="auto" w:fill="FFFFFF"/>
              </w:rPr>
              <w:t>提高文学作品的分析鉴赏能力，文言文阅读能力，写作表达能力，整理和运用信息的能力。</w:t>
            </w:r>
            <w:r>
              <w:rPr>
                <w:rFonts w:ascii="宋体" w:hAnsi="宋体"/>
                <w:kern w:val="0"/>
                <w:sz w:val="20"/>
                <w:szCs w:val="20"/>
              </w:rPr>
              <w:t xml:space="preserve"> </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cs="宋体"/>
                <w:color w:val="1E1E1E"/>
                <w:sz w:val="20"/>
                <w:szCs w:val="20"/>
                <w:shd w:val="clear" w:color="auto" w:fill="FFFFFF"/>
              </w:rPr>
            </w:pPr>
            <w:r>
              <w:rPr>
                <w:rFonts w:hint="eastAsia" w:ascii="宋体" w:hAnsi="宋体"/>
                <w:b/>
                <w:kern w:val="0"/>
                <w:sz w:val="20"/>
                <w:szCs w:val="20"/>
              </w:rPr>
              <w:t>素质目标：</w:t>
            </w:r>
            <w:r>
              <w:rPr>
                <w:rFonts w:hint="eastAsia" w:ascii="宋体" w:hAnsi="宋体" w:cs="宋体"/>
                <w:color w:val="1E1E1E"/>
                <w:sz w:val="20"/>
                <w:szCs w:val="20"/>
                <w:shd w:val="clear" w:color="auto" w:fill="FFFFFF"/>
              </w:rPr>
              <w:t>培养学生乐观的生活态度、求实的科学态度、宽容的人生态度，提升学生的人文素养人文情怀，提升思维品质、审美情趣和文化品位，确立起对真善美的价值追求以及人与自然和谐、可持续发展的理念。</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学习各类体裁的文章和古今重要的经典作品，学习写作记叙文、说明文、立论文和驳论文、公文、事务文书、经济文书和科技文体等。</w:t>
            </w:r>
            <w:r>
              <w:rPr>
                <w:rFonts w:ascii="宋体" w:hAnsi="宋体"/>
                <w:kern w:val="0"/>
                <w:sz w:val="20"/>
                <w:szCs w:val="20"/>
              </w:rPr>
              <w:t xml:space="preserve"> </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要求掌握阅读的方法和技巧，提高赏析各类文章的能力；掌握说明文、议论文、应用文等不同文种的概念、特点，培养分析能力和写作能力。</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sz w:val="20"/>
                <w:szCs w:val="20"/>
                <w:lang w:val="en-US" w:eastAsia="zh-CN"/>
              </w:rPr>
              <w:t>22</w:t>
            </w:r>
            <w:r>
              <w:rPr>
                <w:rFonts w:hint="eastAsia" w:ascii="宋体"/>
                <w:sz w:val="20"/>
                <w:szCs w:val="20"/>
              </w:rPr>
              <w:t>/</w:t>
            </w:r>
            <w:r>
              <w:rPr>
                <w:rFonts w:hint="eastAsia" w:ascii="宋体"/>
                <w:sz w:val="20"/>
                <w:szCs w:val="20"/>
                <w:lang w:val="en-US" w:eastAsia="zh-CN"/>
              </w:rPr>
              <w:t>44</w:t>
            </w:r>
            <w:r>
              <w:rPr>
                <w:rFonts w:hint="eastAsia" w:ascii="宋体"/>
                <w:sz w:val="20"/>
                <w:szCs w:val="20"/>
              </w:rPr>
              <w:t>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数学</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掌握初等函数、几何、数理统计、微积分、线性代数的基本概念。</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会进行一些简单计算，具备后续专业课程学习中涉及到的相关数学知识。具备一定的数学思维，会综合运用数学的思想方法解决问题，能对简单的实际问题进行数学化、并借助信息技术求解和分析。</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养成自主学习的习惯，具备必要的数学素养，具有耐心细致、实事求是、追求真理的高尚品质。</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初等函数的集合、不等式、函数的概念和性质、幂函数、指数函数、对数函数、正余弦正切三角函数、等差数列与等比数列、平面向量、二次曲线、立体几何初步；数理统计初步；矩阵与线性方程组、高等数学中的极限、函数的连续性、导数和导数的应用、微积分基本定理、积分和积分应用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本课程传授中高职五年制必要的数学知识，教学中应让学生掌握大纲中所列的基本概念、定理和计算方法，提高数学的计算能力思维能力，培养分析问题和解决问题能力。</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ascii="宋体"/>
                <w:sz w:val="20"/>
                <w:szCs w:val="20"/>
              </w:rPr>
              <w:t>24/</w:t>
            </w:r>
            <w:r>
              <w:rPr>
                <w:rFonts w:hint="eastAsia" w:ascii="宋体"/>
                <w:sz w:val="20"/>
                <w:szCs w:val="20"/>
                <w:lang w:val="en-US" w:eastAsia="zh-CN"/>
              </w:rPr>
              <w:t>480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英语</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使学生掌握一定的英语基础知识和听、说、读、写技能，形成一定的语言运用综合能力。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帮助学生了解中西方文化的差异，拓展视野；为他们的就业、升学、终身学习和发展打下良好的基础。</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激发和培养学生学习英语的兴趣，使学生树立自信心，养成良好的学习习惯，形成有效的学习策略，发展自主学习的能力和合作精神。</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全国高等学校英语应用能力考试（B级）和全国高等学校英语应用能力考试（A级）考试内容。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选择具有时代性、基础性、专业性的课程内容，兼备热门话题学习与基础语法巩固环节。重在发展学生的语言运用综合能力。能结合中高职一体化学生的学习特点，夯实学生英语基本功，把基本功运用到实际涉外交际中去。</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hint="default" w:ascii="宋体" w:hAnsi="宋体" w:eastAsia="宋体" w:cs="宋体"/>
                <w:color w:val="1E1E1E"/>
                <w:kern w:val="0"/>
                <w:sz w:val="20"/>
                <w:szCs w:val="20"/>
                <w:shd w:val="clear" w:color="auto" w:fill="FFFFFF"/>
                <w:lang w:val="en-US" w:eastAsia="zh-CN" w:bidi="ar"/>
              </w:rPr>
            </w:pPr>
            <w:r>
              <w:rPr>
                <w:rFonts w:ascii="宋体" w:hAnsi="宋体" w:cs="宋体"/>
                <w:color w:val="1E1E1E"/>
                <w:kern w:val="0"/>
                <w:sz w:val="20"/>
                <w:szCs w:val="20"/>
                <w:shd w:val="clear" w:color="auto" w:fill="FFFFFF"/>
                <w:lang w:bidi="ar"/>
              </w:rPr>
              <w:t>2</w:t>
            </w:r>
            <w:r>
              <w:rPr>
                <w:rFonts w:hint="eastAsia" w:ascii="宋体" w:hAnsi="宋体" w:cs="宋体"/>
                <w:color w:val="1E1E1E"/>
                <w:kern w:val="0"/>
                <w:sz w:val="20"/>
                <w:szCs w:val="20"/>
                <w:shd w:val="clear" w:color="auto" w:fill="FFFFFF"/>
                <w:lang w:val="en-US" w:eastAsia="zh-CN" w:bidi="ar"/>
              </w:rPr>
              <w:t>4</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480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bCs/>
                <w:sz w:val="20"/>
                <w:szCs w:val="20"/>
                <w:lang w:val="en-US" w:eastAsia="zh-CN"/>
              </w:rPr>
            </w:pPr>
            <w:r>
              <w:rPr>
                <w:rFonts w:hint="eastAsia"/>
                <w:bCs/>
                <w:sz w:val="20"/>
                <w:szCs w:val="20"/>
                <w:lang w:val="en-US" w:eastAsia="zh-CN"/>
              </w:rPr>
              <w:t>思想政治</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培养学生正确的自我认知能力，包括自我认识、评价和反思等。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培养学生良好的个性心理，预防和矫正不良的个性品质。帮助学生察觉和理解自己的情绪状态，学会主动调节、控制自己的情绪。</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帮助学生开发智力，积极适应即将面临的实习或大学环境。</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sz w:val="20"/>
                <w:szCs w:val="20"/>
              </w:rPr>
              <w:t>人生理想、价值观等。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sz w:val="20"/>
                <w:szCs w:val="20"/>
              </w:rPr>
              <w:t>使学生形成对挫折的正确态度和良好的耐挫折能力，具备良好的个人沟通能力。具备良好的思想道德素质和法律素质，把个人人生理想融入国家和民族的事业中，树立为中华民族伟大复兴的中国梦而奋斗的决心和信心，勇做走在时代前面的奋进者。使学生具备更高级的社会态度和价值观等。</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hint="default" w:ascii="宋体" w:hAnsi="宋体" w:eastAsia="宋体" w:cs="宋体"/>
                <w:color w:val="1E1E1E"/>
                <w:kern w:val="0"/>
                <w:sz w:val="20"/>
                <w:szCs w:val="20"/>
                <w:shd w:val="clear" w:color="auto" w:fill="FFFFFF"/>
                <w:lang w:val="en-US" w:eastAsia="zh-CN" w:bidi="ar"/>
              </w:rPr>
            </w:pPr>
            <w:r>
              <w:rPr>
                <w:rFonts w:hint="eastAsia" w:ascii="宋体" w:hAnsi="宋体" w:cs="宋体"/>
                <w:color w:val="1E1E1E"/>
                <w:kern w:val="0"/>
                <w:sz w:val="20"/>
                <w:szCs w:val="20"/>
                <w:shd w:val="clear" w:color="auto" w:fill="FFFFFF"/>
                <w:lang w:bidi="ar"/>
              </w:rPr>
              <w:t>8</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160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eastAsia="宋体"/>
                <w:bCs/>
                <w:sz w:val="20"/>
                <w:szCs w:val="20"/>
                <w:lang w:val="en-US" w:eastAsia="zh-CN"/>
              </w:rPr>
            </w:pPr>
            <w:r>
              <w:rPr>
                <w:rFonts w:hint="eastAsia"/>
                <w:bCs/>
                <w:sz w:val="20"/>
                <w:szCs w:val="20"/>
              </w:rPr>
              <w:t>体育</w:t>
            </w:r>
            <w:r>
              <w:rPr>
                <w:rFonts w:hint="eastAsia"/>
                <w:bCs/>
                <w:sz w:val="20"/>
                <w:szCs w:val="20"/>
                <w:lang w:val="en-US" w:eastAsia="zh-CN"/>
              </w:rPr>
              <w:t>与健康</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知识目标：</w:t>
            </w:r>
            <w:r>
              <w:rPr>
                <w:rFonts w:hint="eastAsia" w:ascii="宋体" w:hAnsi="宋体"/>
                <w:sz w:val="20"/>
                <w:szCs w:val="20"/>
              </w:rPr>
              <w:t>了解所选项目相关知识；掌握所选项目的基本技术和战术。</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能力目标：</w:t>
            </w:r>
            <w:r>
              <w:rPr>
                <w:rFonts w:hint="eastAsia" w:ascii="宋体" w:hAnsi="宋体"/>
                <w:sz w:val="20"/>
                <w:szCs w:val="20"/>
              </w:rPr>
              <w:t>能合理地进行所选专项运动，避免运动损伤损伤；能编制个人锻炼计划。</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素质目标：</w:t>
            </w:r>
            <w:r>
              <w:rPr>
                <w:rFonts w:hint="eastAsia" w:ascii="宋体" w:hAnsi="宋体"/>
                <w:sz w:val="20"/>
                <w:szCs w:val="20"/>
              </w:rPr>
              <w:t>养成自觉锻炼习惯，树立终身体育意识。</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主要内容：</w:t>
            </w:r>
            <w:r>
              <w:rPr>
                <w:rFonts w:hint="eastAsia" w:ascii="宋体" w:hAnsi="宋体"/>
                <w:sz w:val="20"/>
                <w:szCs w:val="20"/>
              </w:rPr>
              <w:t>篮球、排球、足球、羽毛球、乒乓球、网球、武术、跆拳道、瑜伽、定向运动、有氧舞蹈、体适能等。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教学要求：</w:t>
            </w:r>
            <w:r>
              <w:rPr>
                <w:rFonts w:hint="eastAsia" w:ascii="宋体" w:hAnsi="宋体"/>
                <w:sz w:val="20"/>
                <w:szCs w:val="20"/>
              </w:rPr>
              <w:t>以体测五项成绩作为选项依据，按各专项班进行上课。</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cs="宋体"/>
                <w:color w:val="1E1E1E"/>
                <w:kern w:val="0"/>
                <w:sz w:val="20"/>
                <w:szCs w:val="20"/>
                <w:shd w:val="clear" w:color="auto" w:fill="FFFFFF"/>
                <w:lang w:bidi="ar"/>
              </w:rPr>
              <w:t>12</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240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bCs/>
                <w:sz w:val="20"/>
                <w:szCs w:val="20"/>
              </w:rPr>
            </w:pPr>
            <w:r>
              <w:rPr>
                <w:rFonts w:hint="eastAsia"/>
                <w:bCs/>
                <w:sz w:val="20"/>
                <w:szCs w:val="20"/>
              </w:rPr>
              <w:t>历史</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sz w:val="20"/>
                <w:szCs w:val="20"/>
              </w:rPr>
              <w:t>扩大掌握历史知识的范围，深入地了解历史发展的基本线索。</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ascii="宋体" w:hAnsi="宋体"/>
                <w:sz w:val="20"/>
                <w:szCs w:val="20"/>
              </w:rPr>
              <w:t>对历史唯物主义的基本理论和方法有所了解，初步认识人类社会发展的基本规律。</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ascii="宋体" w:hAnsi="宋体"/>
                <w:sz w:val="20"/>
                <w:szCs w:val="20"/>
              </w:rPr>
              <w:t>学会运用科学的理论和方法认识历史和现实问题，逐步形成科学的世界观和历史观。</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kern w:val="0"/>
                <w:sz w:val="20"/>
                <w:szCs w:val="20"/>
              </w:rPr>
              <w:t>古代中国的政治制度，列强侵略与中国人民的反抗斗争，近代中国的民主革命，现代中国的政治建设与祖国统一，现代中国的对外关系，古代希腊罗马的政治制度，欧美资产阶级代议制的确立与发展，从科学社会主义理论到社会主义制度的建立，当今世界政治格局的多极化趋势。</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kern w:val="0"/>
                <w:sz w:val="20"/>
                <w:szCs w:val="20"/>
              </w:rPr>
              <w:t>根据教育部制定的《历史》教学大纲设置教学内容。</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sz w:val="20"/>
                <w:szCs w:val="20"/>
              </w:rPr>
              <w:t>2/</w:t>
            </w:r>
            <w:r>
              <w:rPr>
                <w:rFonts w:hint="eastAsia" w:ascii="宋体" w:hAnsi="宋体"/>
                <w:sz w:val="20"/>
                <w:szCs w:val="20"/>
                <w:lang w:val="en-US" w:eastAsia="zh-CN"/>
              </w:rPr>
              <w:t>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bCs/>
                <w:sz w:val="20"/>
                <w:szCs w:val="20"/>
              </w:rPr>
            </w:pPr>
            <w:r>
              <w:rPr>
                <w:rFonts w:hint="eastAsia"/>
                <w:bCs/>
                <w:sz w:val="20"/>
                <w:szCs w:val="20"/>
              </w:rPr>
              <w:t>艺术</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kern w:val="0"/>
                <w:sz w:val="20"/>
                <w:szCs w:val="20"/>
              </w:rPr>
              <w:t>对艺术的本质、发生和发展、艺术的创作、艺术本文、艺术的接受和批评等理论有明晰的了解和把握。</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ascii="宋体" w:hAnsi="宋体"/>
                <w:kern w:val="0"/>
                <w:sz w:val="20"/>
                <w:szCs w:val="20"/>
              </w:rPr>
              <w:t>培养学生初步确立科学的艺术观，基本具备观察艺术文化现象、分析艺术发展规律，使学生能够鉴赏中外不同趣味的艺术品，体会不同民族的审美特征、审美理想与追求，使学生养成艺术评论、艺术研究的能力。</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ascii="宋体" w:hAnsi="宋体"/>
                <w:kern w:val="0"/>
                <w:sz w:val="20"/>
                <w:szCs w:val="20"/>
              </w:rPr>
              <w:t>提升自身的艺术素养与品味，进而增强民族的自豪感与自信心。</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sz w:val="20"/>
                <w:szCs w:val="20"/>
              </w:rPr>
              <w:t>主要涉及艺术的本质、艺术的起源、艺术的作用、艺术的分类及艺术鉴赏等内容。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sz w:val="20"/>
                <w:szCs w:val="20"/>
              </w:rPr>
              <w:t>通过讲授艺术理论知识及欣赏优秀的艺术作品，提高学生艺术修养及品味。</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sz w:val="20"/>
                <w:szCs w:val="20"/>
              </w:rPr>
              <w:t>2/</w:t>
            </w:r>
            <w:r>
              <w:rPr>
                <w:rFonts w:hint="eastAsia" w:ascii="宋体" w:hAnsi="宋体"/>
                <w:sz w:val="20"/>
                <w:szCs w:val="20"/>
                <w:lang w:val="en-US" w:eastAsia="zh-CN"/>
              </w:rPr>
              <w:t>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心理健康</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掌握一定的心理学和心理健康知识。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增强心理承受能力，培养积极、乐观的人生态度，促进身心健康发展。</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营造轻松、活泼的课堂氛围，形成良好的师生关系基础。</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心理健康的基本知识、学生适应性问题、学生人际交往、恋爱与性心理、情绪管理、认识自我。</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根据教育部制定的《心理健康教育》教学大纲设置教学内容。理论与实践相结合，实践课时不少于6课时。采用线上线下结合的方式，线上以理论讲授为主，线下以答疑辅导和训练为主。</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ascii="宋体" w:hAnsi="宋体"/>
                <w:sz w:val="20"/>
                <w:szCs w:val="20"/>
              </w:rPr>
              <w:t>2/</w:t>
            </w:r>
            <w:r>
              <w:rPr>
                <w:rFonts w:hint="eastAsia" w:ascii="宋体" w:hAnsi="宋体"/>
                <w:sz w:val="20"/>
                <w:szCs w:val="20"/>
                <w:lang w:val="en-US" w:eastAsia="zh-CN"/>
              </w:rPr>
              <w:t>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eastAsia="宋体"/>
                <w:bCs/>
                <w:sz w:val="20"/>
                <w:szCs w:val="20"/>
                <w:lang w:val="en-US" w:eastAsia="zh-CN"/>
              </w:rPr>
            </w:pPr>
            <w:r>
              <w:rPr>
                <w:rFonts w:hint="eastAsia"/>
                <w:bCs/>
                <w:sz w:val="20"/>
                <w:szCs w:val="20"/>
                <w:lang w:val="en-US" w:eastAsia="zh-CN"/>
              </w:rPr>
              <w:t>信息技术</w:t>
            </w:r>
          </w:p>
        </w:tc>
        <w:tc>
          <w:tcPr>
            <w:tcW w:w="3316" w:type="dxa"/>
            <w:vAlign w:val="center"/>
          </w:tcPr>
          <w:p>
            <w:pPr>
              <w:keepNext w:val="0"/>
              <w:keepLines w:val="0"/>
              <w:pageBreakBefore w:val="0"/>
              <w:widowControl w:val="0"/>
              <w:kinsoku/>
              <w:wordWrap w:val="0"/>
              <w:overflowPunct/>
              <w:topLinePunct/>
              <w:autoSpaceDE/>
              <w:autoSpaceDN/>
              <w:bidi w:val="0"/>
              <w:adjustRightInd/>
              <w:snapToGrid/>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kern w:val="0"/>
                <w:sz w:val="20"/>
                <w:szCs w:val="20"/>
              </w:rPr>
              <w:t>了解计算机系统等相关概念、掌握文字编辑、电子表格、演示文稿、网络使用等工具软件的基本知识与操作技能。</w:t>
            </w:r>
          </w:p>
          <w:p>
            <w:pPr>
              <w:keepNext w:val="0"/>
              <w:keepLines w:val="0"/>
              <w:pageBreakBefore w:val="0"/>
              <w:widowControl w:val="0"/>
              <w:kinsoku/>
              <w:wordWrap w:val="0"/>
              <w:overflowPunct/>
              <w:topLinePunct/>
              <w:autoSpaceDE/>
              <w:autoSpaceDN/>
              <w:bidi w:val="0"/>
              <w:adjustRightInd/>
              <w:snapToGrid/>
              <w:textAlignment w:val="auto"/>
              <w:rPr>
                <w:rFonts w:ascii="宋体" w:hAnsi="宋体"/>
                <w:b/>
                <w:bCs/>
                <w:kern w:val="0"/>
                <w:sz w:val="20"/>
                <w:szCs w:val="20"/>
              </w:rPr>
            </w:pPr>
            <w:r>
              <w:rPr>
                <w:rFonts w:hint="eastAsia" w:ascii="宋体" w:hAnsi="宋体"/>
                <w:b/>
                <w:kern w:val="0"/>
                <w:sz w:val="20"/>
                <w:szCs w:val="20"/>
              </w:rPr>
              <w:t>能力目标：</w:t>
            </w:r>
            <w:r>
              <w:rPr>
                <w:rFonts w:hint="eastAsia" w:ascii="宋体" w:hAnsi="宋体"/>
                <w:kern w:val="0"/>
                <w:sz w:val="20"/>
                <w:szCs w:val="20"/>
              </w:rPr>
              <w:t>文字编辑、电子表格、演示文稿、网络使用</w:t>
            </w:r>
            <w:r>
              <w:rPr>
                <w:rFonts w:hint="eastAsia"/>
                <w:sz w:val="20"/>
                <w:szCs w:val="20"/>
              </w:rPr>
              <w:t>。</w:t>
            </w:r>
            <w:r>
              <w:rPr>
                <w:rFonts w:hint="eastAsia" w:ascii="宋体" w:hAnsi="宋体"/>
                <w:b/>
                <w:kern w:val="0"/>
                <w:sz w:val="20"/>
                <w:szCs w:val="20"/>
              </w:rPr>
              <w:t>素质目标：</w:t>
            </w:r>
            <w:r>
              <w:rPr>
                <w:rFonts w:hint="eastAsia"/>
                <w:sz w:val="20"/>
                <w:szCs w:val="20"/>
              </w:rPr>
              <w:t>本课程有两个教学目标：第1个量化目标为激励学生通过浙江省计算机一级WINDOWS等级考试；第2个质化目标为切实提高学生办公软件综合应用能力。</w:t>
            </w:r>
          </w:p>
        </w:tc>
        <w:tc>
          <w:tcPr>
            <w:tcW w:w="2957" w:type="dxa"/>
            <w:vAlign w:val="center"/>
          </w:tcPr>
          <w:p>
            <w:pPr>
              <w:keepNext w:val="0"/>
              <w:keepLines w:val="0"/>
              <w:pageBreakBefore w:val="0"/>
              <w:widowControl w:val="0"/>
              <w:kinsoku/>
              <w:wordWrap w:val="0"/>
              <w:overflowPunct/>
              <w:topLinePunct/>
              <w:autoSpaceDE/>
              <w:autoSpaceDN/>
              <w:bidi w:val="0"/>
              <w:adjustRightInd/>
              <w:snapToGrid/>
              <w:textAlignment w:val="auto"/>
              <w:rPr>
                <w:sz w:val="20"/>
                <w:szCs w:val="20"/>
              </w:rPr>
            </w:pPr>
            <w:r>
              <w:rPr>
                <w:rFonts w:hint="eastAsia" w:ascii="宋体" w:hAnsi="宋体"/>
                <w:b/>
                <w:kern w:val="0"/>
                <w:sz w:val="20"/>
                <w:szCs w:val="20"/>
              </w:rPr>
              <w:t>主要内容：</w:t>
            </w:r>
            <w:r>
              <w:rPr>
                <w:rFonts w:hint="eastAsia"/>
                <w:sz w:val="20"/>
                <w:szCs w:val="20"/>
              </w:rPr>
              <w:t>计算机系统等相关概念、文字编辑、电子表格、演示文稿、网络使用等工具软件的基本知识与操作技能。</w:t>
            </w:r>
          </w:p>
          <w:p>
            <w:pPr>
              <w:keepNext w:val="0"/>
              <w:keepLines w:val="0"/>
              <w:pageBreakBefore w:val="0"/>
              <w:widowControl w:val="0"/>
              <w:kinsoku/>
              <w:wordWrap w:val="0"/>
              <w:overflowPunct/>
              <w:topLinePunct/>
              <w:autoSpaceDE/>
              <w:autoSpaceDN/>
              <w:bidi w:val="0"/>
              <w:adjustRightInd/>
              <w:snapToGrid/>
              <w:textAlignment w:val="auto"/>
              <w:rPr>
                <w:sz w:val="20"/>
                <w:szCs w:val="20"/>
              </w:rPr>
            </w:pPr>
            <w:r>
              <w:rPr>
                <w:rFonts w:hint="eastAsia" w:ascii="宋体" w:hAnsi="宋体"/>
                <w:b/>
                <w:kern w:val="0"/>
                <w:sz w:val="20"/>
                <w:szCs w:val="20"/>
              </w:rPr>
              <w:t>教学要求：</w:t>
            </w:r>
            <w:r>
              <w:rPr>
                <w:rFonts w:hint="eastAsia"/>
                <w:sz w:val="20"/>
                <w:szCs w:val="20"/>
              </w:rPr>
              <w:t>学生能达到两个层次：第一个层次通过浙江省计算机一级WINDOWS等级考试；第二个层次能具备计算机应用相关知识并熟练使用OFFICE等工具解决实际问题。</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kern w:val="0"/>
                <w:sz w:val="20"/>
                <w:szCs w:val="20"/>
                <w:lang w:val="en-US" w:eastAsia="zh-CN"/>
              </w:rPr>
              <w:t>4</w:t>
            </w:r>
            <w:r>
              <w:rPr>
                <w:rFonts w:hint="eastAsia" w:ascii="宋体" w:hAnsi="宋体"/>
                <w:kern w:val="0"/>
                <w:sz w:val="20"/>
                <w:szCs w:val="20"/>
              </w:rPr>
              <w:t>/48</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思想道德修养与法律基础</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认识新时代的中国、科学的世界观、人生观、价值观相关理论；领会社会主义核心价值观；明确社会主义法律规范。</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能够理论联系实际，具备分析和解决职业、家庭、社会公共生活等领域现实一般法律问题的能力。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形成对自身、家庭、职业、社会、国家的责任感和荣誉感。</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珍惜大学生活 开拓新的境界；追求远大理想 坚定崇高信念；继承爱国传统 弘扬中国精神；领悟人生真谛 创造人生价值；学习道德理论 注重道德实践；领会法律精神 理解法律体系。</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按照教育部《新时代高校思想政治理论课教学工作基本要求》执行；教学方式采用线上线下混合式。</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hint="eastAsia" w:ascii="宋体" w:hAnsi="宋体"/>
                <w:kern w:val="0"/>
                <w:sz w:val="20"/>
                <w:szCs w:val="20"/>
                <w:lang w:val="en-US" w:eastAsia="zh-CN"/>
              </w:rPr>
              <w:t>2</w:t>
            </w:r>
            <w:r>
              <w:rPr>
                <w:rFonts w:ascii="宋体" w:hAnsi="宋体"/>
                <w:kern w:val="0"/>
                <w:sz w:val="20"/>
                <w:szCs w:val="20"/>
              </w:rPr>
              <w:t>/</w:t>
            </w:r>
            <w:r>
              <w:rPr>
                <w:rFonts w:hint="eastAsia" w:ascii="宋体" w:hAnsi="宋体"/>
                <w:kern w:val="0"/>
                <w:sz w:val="20"/>
                <w:szCs w:val="20"/>
                <w:lang w:val="en-US" w:eastAsia="zh-CN"/>
              </w:rPr>
              <w:t>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毛泽东思想和中国特色社会主义理论体系概论</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系统掌握毛泽东思想和中国特色社会主义理论体系的基本原理。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运用马克思主义的立场、观点和方法分析、解决实际生活问题。</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正确认识肩负的历史使命，自觉维护国家和民族利益。</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毛泽东思想、邓小平理论、“三个代表”重要思想、科学发展观、习近平新时代中国特色社会主义思想的基本原理。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按照教育部《新时代高校思想政治理论课教学工作基本要求》执行；教学方式采用线上线下混合式。</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2</w:t>
            </w:r>
            <w:r>
              <w:rPr>
                <w:rFonts w:ascii="宋体" w:hAnsi="宋体"/>
                <w:sz w:val="20"/>
                <w:szCs w:val="20"/>
              </w:rPr>
              <w:t>/</w:t>
            </w:r>
            <w:r>
              <w:rPr>
                <w:rFonts w:hint="eastAsia" w:ascii="宋体" w:hAnsi="宋体"/>
                <w:sz w:val="20"/>
                <w:szCs w:val="20"/>
                <w:lang w:val="en-US" w:eastAsia="zh-CN"/>
              </w:rPr>
              <w:t>40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军事理论</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了解我国的国防历史和现代化国防建设的现状，初步掌握我国军事理论的主要内容。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初步掌握世界军事及我国周边安全环境的分析能力；军事高技术的发展趋势对现代作战影响的判断能力。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增强国防观念和国家安全意识，提高政治思想觉悟，激发学生的爱国热情。</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中国国防、国家安全、军事思想、现代战争、信息化装备。</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本课程采用线上与线下教学相结合的方式，总课时为36学时，其中28学时为在线视频教学，8学时为见面课教学进行相关国防军事理论与实践相结合的宣传教育。</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ascii="宋体" w:hAnsi="宋体"/>
                <w:sz w:val="20"/>
                <w:szCs w:val="20"/>
              </w:rPr>
              <w:t>2/36</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军事技能训练</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掌握军事基础知识和基本军事技能。</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掌握队列操练的基本技能。</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增强国防观念、国家安全意识和忧患危机意识，提高综合国防素质。</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共同条令教育与训练、射击与战术训练、防卫技能与战时防护训练、战备基础与应用训练等。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开展2周，要求学生军事技能训练须具备充足的场地、训练设备；实践教学。</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ascii="宋体" w:hAnsi="宋体"/>
                <w:sz w:val="20"/>
                <w:szCs w:val="20"/>
              </w:rPr>
              <w:t>2/112</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654" w:type="dxa"/>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1284"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劳动实践</w:t>
            </w:r>
          </w:p>
        </w:tc>
        <w:tc>
          <w:tcPr>
            <w:tcW w:w="3316"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知识目标：</w:t>
            </w:r>
            <w:r>
              <w:rPr>
                <w:rFonts w:hint="eastAsia" w:ascii="宋体" w:hAnsi="宋体"/>
                <w:sz w:val="20"/>
                <w:szCs w:val="20"/>
              </w:rPr>
              <w:t>理解和形成马克思主义劳动观，树立劳动最光荣的观念，懂得尊重普通劳动者，培养勤俭、奋斗、创新、奉献的劳动精神，促进全面协调发展。</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能力目标：</w:t>
            </w:r>
            <w:r>
              <w:rPr>
                <w:rFonts w:hint="eastAsia" w:ascii="宋体" w:hAnsi="宋体"/>
                <w:sz w:val="20"/>
                <w:szCs w:val="20"/>
              </w:rPr>
              <w:t>能够加强动手能力，具备满足生存发展需要的基本劳动能力，形成良好的劳动习惯。</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素质目标：</w:t>
            </w:r>
            <w:r>
              <w:rPr>
                <w:rFonts w:hint="eastAsia" w:ascii="宋体" w:hAnsi="宋体"/>
                <w:sz w:val="20"/>
                <w:szCs w:val="20"/>
              </w:rPr>
              <w:t>认识到劳动的重要性，体味劳动的艰辛，收获劳动的快乐，能树立正确的劳动观，形成正确的世界观、人生观、价值观。</w:t>
            </w:r>
          </w:p>
        </w:tc>
        <w:tc>
          <w:tcPr>
            <w:tcW w:w="2957" w:type="dxa"/>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主要内容：</w:t>
            </w:r>
            <w:r>
              <w:rPr>
                <w:rFonts w:hint="eastAsia" w:ascii="宋体" w:hAnsi="宋体"/>
                <w:sz w:val="20"/>
                <w:szCs w:val="20"/>
              </w:rPr>
              <w:t>围绕创新创业，结合学科和专业积极开展实习实训、专业服务、社会实践、勤工助学等。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教学要求：</w:t>
            </w:r>
            <w:r>
              <w:rPr>
                <w:rFonts w:hint="eastAsia" w:ascii="宋体" w:hAnsi="宋体"/>
                <w:sz w:val="20"/>
                <w:szCs w:val="20"/>
              </w:rPr>
              <w:t>根据中共中央国务院发布《关于全面加强新时代大中小学劳动教育的意见》，以实习实训课为主要载体开展劳动教育，以集体劳动形式，组织班级走进生活，走近劳动，使学生掌握劳动技能。</w:t>
            </w:r>
          </w:p>
        </w:tc>
        <w:tc>
          <w:tcPr>
            <w:tcW w:w="871"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ascii="宋体" w:hAnsi="宋体"/>
                <w:sz w:val="20"/>
                <w:szCs w:val="20"/>
              </w:rPr>
              <w:t>1/</w:t>
            </w:r>
            <w:r>
              <w:rPr>
                <w:rFonts w:hint="eastAsia" w:ascii="宋体" w:hAnsi="宋体"/>
                <w:sz w:val="20"/>
                <w:szCs w:val="20"/>
                <w:lang w:val="en-US" w:eastAsia="zh-CN"/>
              </w:rPr>
              <w:t>20</w:t>
            </w:r>
          </w:p>
        </w:tc>
        <w:tc>
          <w:tcPr>
            <w:tcW w:w="655" w:type="dxa"/>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bl>
    <w:p>
      <w:pPr>
        <w:bidi w:val="0"/>
        <w:rPr>
          <w:rFonts w:hint="eastAsia"/>
        </w:rPr>
      </w:pPr>
    </w:p>
    <w:p>
      <w:pPr>
        <w:bidi w:val="0"/>
        <w:rPr>
          <w:rFonts w:hint="eastAsia"/>
        </w:rPr>
      </w:pPr>
    </w:p>
    <w:p>
      <w:pPr>
        <w:bidi w:val="0"/>
        <w:rPr>
          <w:rFonts w:hint="eastAsia"/>
        </w:rPr>
      </w:pPr>
    </w:p>
    <w:p>
      <w:pPr>
        <w:pStyle w:val="39"/>
        <w:numPr>
          <w:ilvl w:val="0"/>
          <w:numId w:val="0"/>
        </w:numPr>
        <w:snapToGrid w:val="0"/>
        <w:spacing w:before="0" w:after="0" w:line="360" w:lineRule="auto"/>
        <w:jc w:val="both"/>
        <w:outlineLvl w:val="2"/>
        <w:rPr>
          <w:rFonts w:hint="default" w:ascii="宋体" w:eastAsia="宋体"/>
          <w:sz w:val="24"/>
          <w:szCs w:val="24"/>
          <w:lang w:val="en-US" w:eastAsia="zh-CN"/>
        </w:rPr>
      </w:pPr>
      <w:r>
        <w:rPr>
          <w:rFonts w:hint="eastAsia" w:ascii="宋体"/>
          <w:sz w:val="24"/>
          <w:szCs w:val="24"/>
          <w:lang w:val="en-US" w:eastAsia="zh-CN"/>
        </w:rPr>
        <w:t>3.专业融通课程</w:t>
      </w:r>
    </w:p>
    <w:tbl>
      <w:tblPr>
        <w:tblStyle w:val="24"/>
        <w:tblW w:w="9757" w:type="dxa"/>
        <w:tblInd w:w="-59" w:type="dxa"/>
        <w:shd w:val="clear" w:color="auto" w:fill="auto"/>
        <w:tblLayout w:type="fixed"/>
        <w:tblCellMar>
          <w:top w:w="0" w:type="dxa"/>
          <w:left w:w="108" w:type="dxa"/>
          <w:bottom w:w="0" w:type="dxa"/>
          <w:right w:w="108" w:type="dxa"/>
        </w:tblCellMar>
      </w:tblPr>
      <w:tblGrid>
        <w:gridCol w:w="700"/>
        <w:gridCol w:w="1214"/>
        <w:gridCol w:w="3372"/>
        <w:gridCol w:w="2871"/>
        <w:gridCol w:w="929"/>
        <w:gridCol w:w="671"/>
      </w:tblGrid>
      <w:tr>
        <w:tblPrEx>
          <w:shd w:val="clear" w:color="auto" w:fill="auto"/>
          <w:tblCellMar>
            <w:top w:w="0" w:type="dxa"/>
            <w:left w:w="108" w:type="dxa"/>
            <w:bottom w:w="0" w:type="dxa"/>
            <w:right w:w="108" w:type="dxa"/>
          </w:tblCellMar>
        </w:tblPrEx>
        <w:trPr>
          <w:trHeight w:val="516" w:hRule="atLeast"/>
          <w:tblHeader/>
        </w:trPr>
        <w:tc>
          <w:tcPr>
            <w:tcW w:w="70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214"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3372"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课程目标</w:t>
            </w:r>
          </w:p>
        </w:tc>
        <w:tc>
          <w:tcPr>
            <w:tcW w:w="2871"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主要教学内容与要求</w:t>
            </w:r>
          </w:p>
        </w:tc>
        <w:tc>
          <w:tcPr>
            <w:tcW w:w="929"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学分/学时</w:t>
            </w:r>
          </w:p>
        </w:tc>
        <w:tc>
          <w:tcPr>
            <w:tcW w:w="671"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2703" w:hRule="atLeast"/>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工匠精神</w:t>
            </w:r>
          </w:p>
        </w:tc>
        <w:tc>
          <w:tcPr>
            <w:tcW w:w="337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了解中国的工匠精神及其历史演变；学习“大国工匠”事迹；认识“工匠精神”价值。</w:t>
            </w:r>
          </w:p>
        </w:tc>
        <w:tc>
          <w:tcPr>
            <w:tcW w:w="287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课程设计“匠心筑梦：继往开来薪火传；工匠之魂：执着专业，一生只做一件事；工匠之道：坚持梦想，打开成功之门的钥匙；工匠之术：精益求精，让工作成为一种修行”四个模块，整合、序化教学内容。</w:t>
            </w:r>
          </w:p>
        </w:tc>
        <w:tc>
          <w:tcPr>
            <w:tcW w:w="92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12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引导学生积极参与课内外实践，如6S管理、科技创新、卓越人才和订单班培养，促进提高其专业技能和综合素质能力。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通过自编《工匠精神》教育读本，将课程资源应用在“超星学习通”上，采用线上视频学习+线下论坛（讲座）的混合式教学模式。</w:t>
            </w:r>
          </w:p>
        </w:tc>
        <w:tc>
          <w:tcPr>
            <w:tcW w:w="92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1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具有良好的品质意识；具有良好的创新意识；养成较好的敬业精神和团队合作精神。</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41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电工基本电路安装与调试</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掌握电路分析技术和电工技术的基础理论知识；掌握电工技术必要的基本理论、基本知识和基本技能。了解电路设计方法。</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直流电路的概念及分析，单相正弦交流电路，三相交流电路，电气控制。晶体管直流稳压电源原理、控制和应用；晶体管及应用电路；集成运放、反馈的认知及应用电路；功率放大器的认知及应用电路；正弦波振荡器的认知及应用电路；数字逻辑基础；组合逻辑电路和时序原理电路的分析和设计。</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6/120</w:t>
            </w:r>
          </w:p>
        </w:tc>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128"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掌握直流电路、交流电路的基本概念、定理。具有一定的分析、计算能力；具备常用继电控制系统的分析、设计能力；具备中小型现代化设备的电气维修能力。提高协作水平，具备良好的职业素养。学会正确使用常用电工电子仪器仪表；具备电路制作、安装、调试和排除故障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通过该课程的学习，使学生掌握电路基础、电气控制的基本知识。为后续专业课程的学习提供必备的理论知识。并通过实训，使学生具备一定的电工技能，获取低压电工作业职业资格证书。要求理论讲解和实践操作相结合，“线上+线下”共存的教学模式，使课程达到“教、学、做”一体化。</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717"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为学习后续课程以及从事与本专业有关的工程技术等工作打下一定的基础，并养成良好的职业素质。</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5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机械基础</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掌握城轨机械基础知识，能看懂零件图纸，熟悉常用工程材料的应用，掌握平面连杆机构、凸轮机构等常见机构，掌握齿轮、挠性等常用机械传动，掌握螺纹、键连接等常用机械连接，了解钳工和机械加工等。</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正投影认知，三视图、机件的剖视图和断面图的绘制与表达，零件图及技术要求认知，常用工程材料认知，平面机构、平面连杆机构、凸轮机构的认知，齿轮、带传动和链传动等常用机械传动认知，常用机械连接认知、钳工技能知识等。</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初步形成空间想象力和空间构思的能力，能识读和绘制零件图和装配图，具有查阅标准、规范、手册、图册等技术资料的能力。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着重阐明识读和绘制机械图样的基本理论和方法，突出制图为主、读画结合的特点，注重动手能力训练。采用理论知识模块化结合实践项目，理实结合，任务驱动，教、学、做一体化教学模式。</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0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认识各种标准件和通用零部件，具备应用标准、规范、手册、图册和查阅使用有关技术资料开展机械零件的设计和制图。</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0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AutoCAD</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熟悉AutoCAD界面、绘图环境，掌握绘制简单图形的方法。</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AutoCAD界面认知及图形文件管理，绘图工具认知及简单平面图形的绘制，编辑工具认知及复杂平面图形的绘制。</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6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能正确设置AutoCAD运行环境，绘制平面图形；能够绘制简单及中等复杂难度的零件图，并正确标注；能绘制简单装配图并正确标注；能够对机械图样正确打印输出。</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结合机械制图课程，以机械工程图的二维平面绘图为主，使学生熟练掌握用AutoCAD绘制二维工程图，了解建立标准件和常用件图库的方法。</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75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培养学生的沟通能力及团队协作精神，分析问题、解决问题的能力，查错、纠错的能力。</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16"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电子基本电路装接与调试</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了解电子元器件的性能，掌握简单电子线路的工作原理，能看懂蒸馏电路、典型稳压电源的原理图，理解典型放大电路，了解集成电路基本常识。</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各类元器件，各类电子实训设备，根据电路图连接各种元器件等。</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6/120</w:t>
            </w:r>
          </w:p>
        </w:tc>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49"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能识别与检测常用电子元器件，会分析较为简单的电子电路，会使用万用表等常用电工仪表和电子仪器表来检测电子电路，初步具备组装和调试电子电路的能力。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提高学生学习能力，了解电学基础知识，通过学习常用电子元器件，提高学生对电学能力、分析处理能力以及设备检测能力。</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33"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养成认真细致、实事求是、积极探索的科学态度和工作作风，形成理论联系实际、自主学习和探索创新的良好习惯。</w:t>
            </w:r>
          </w:p>
        </w:tc>
        <w:tc>
          <w:tcPr>
            <w:tcW w:w="2871" w:type="dxa"/>
            <w:tcBorders>
              <w:top w:val="nil"/>
              <w:left w:val="nil"/>
              <w:bottom w:val="single" w:color="auto"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22"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工厂电气控制设备</w:t>
            </w:r>
          </w:p>
        </w:tc>
        <w:tc>
          <w:tcPr>
            <w:tcW w:w="3372"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掌握电工安全生产知识、电工基础知识、常用仪器仪表使用方法、常用电工工具使用方法、常用低压电器应用技术。掌握电气防火与防爆、触电急救、防雷防静电等技术。</w:t>
            </w:r>
          </w:p>
        </w:tc>
        <w:tc>
          <w:tcPr>
            <w:tcW w:w="28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电工基础知识、常用电工工具与仪表的使用方法、低压电工作业、电工安全生产知识、触电急救技术和电气防火防爆防雷防静电知识等。</w:t>
            </w:r>
          </w:p>
        </w:tc>
        <w:tc>
          <w:tcPr>
            <w:tcW w:w="929" w:type="dxa"/>
            <w:vMerge w:val="restar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5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具备低压电工安全生产知识；具备仪器仪表使用的能力；具备电气防火与防爆的能力；具备触电急救、防雷防静电的能力。</w:t>
            </w:r>
          </w:p>
        </w:tc>
        <w:tc>
          <w:tcPr>
            <w:tcW w:w="2871"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掌握触电急救、电气火灾灭火等事故的应急处理能力。为后续专业课程的学习提供必备的理论知识，安全实操技能。并通过实训，使学生具备一定的电工技能，获取低压电工作业证书（特种作业操作证）。</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3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培养从事城市轨道交通运营管理机电设备的使用和技术管理工作。</w:t>
            </w:r>
          </w:p>
        </w:tc>
        <w:tc>
          <w:tcPr>
            <w:tcW w:w="287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568"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钳工</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1"/>
                <w:sz w:val="20"/>
                <w:szCs w:val="20"/>
                <w:lang w:val="en-US" w:eastAsia="zh-CN" w:bidi="ar"/>
              </w:rPr>
              <w:t>开展典型零件的钳工基础训练，达到钳工的初级能力要求。</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1"/>
                <w:sz w:val="20"/>
                <w:szCs w:val="20"/>
                <w:lang w:val="en-US" w:eastAsia="zh-CN" w:bidi="ar"/>
              </w:rPr>
              <w:t>划线、凿削、锯割、锉削、钻孔、攻丝和套丝、弯曲与矫正、研磨、锉配合和装配知识。</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1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1"/>
                <w:sz w:val="20"/>
                <w:szCs w:val="20"/>
                <w:lang w:val="en-US" w:eastAsia="zh-CN" w:bidi="ar"/>
              </w:rPr>
              <w:t>掌握划线、凿削、锯割、锉削、钻孔、攻丝和套丝、弯曲与矫正、研磨、锉配合和装配。</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1"/>
                <w:sz w:val="20"/>
                <w:szCs w:val="20"/>
                <w:lang w:val="en-US" w:eastAsia="zh-CN" w:bidi="ar"/>
              </w:rPr>
              <w:t>使学生了解机械加工生产过程，获得机械制造技术的基本实践知识，得到的基本操作技能训练，为学习后续课程和将来从事相关技术工作奠定实践基础。</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46"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1"/>
                <w:sz w:val="20"/>
                <w:szCs w:val="20"/>
                <w:lang w:val="en-US" w:eastAsia="zh-CN" w:bidi="ar"/>
              </w:rPr>
              <w:t>了解常见零件的加工工艺，熟悉所用设备的构造、原理和使用方法等，为后继专业课程的学习提供工程背景知识。</w:t>
            </w:r>
          </w:p>
        </w:tc>
        <w:tc>
          <w:tcPr>
            <w:tcW w:w="2871" w:type="dxa"/>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46"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eastAsia="宋体" w:cs="宋体"/>
                <w:sz w:val="20"/>
                <w:szCs w:val="20"/>
                <w:lang w:val="en-US" w:eastAsia="zh-CN"/>
              </w:rPr>
              <w:t>机床电气故障诊断与维修</w:t>
            </w:r>
          </w:p>
        </w:tc>
        <w:tc>
          <w:tcPr>
            <w:tcW w:w="3372" w:type="dxa"/>
            <w:tcBorders>
              <w:top w:val="nil"/>
              <w:left w:val="nil"/>
              <w:bottom w:val="nil"/>
              <w:right w:val="single" w:color="000000" w:sz="8" w:space="0"/>
            </w:tcBorders>
            <w:shd w:val="clear" w:color="auto" w:fill="auto"/>
            <w:vAlign w:val="center"/>
          </w:tcPr>
          <w:p>
            <w:pPr>
              <w:widowControl/>
              <w:spacing w:line="300" w:lineRule="auto"/>
              <w:ind w:firstLine="400" w:firstLineChars="200"/>
              <w:jc w:val="left"/>
              <w:rPr>
                <w:rFonts w:eastAsia="宋体" w:cs="宋体"/>
                <w:sz w:val="20"/>
                <w:szCs w:val="20"/>
              </w:rPr>
            </w:pPr>
            <w:r>
              <w:rPr>
                <w:rFonts w:hint="eastAsia" w:eastAsia="宋体" w:cs="宋体"/>
                <w:sz w:val="20"/>
                <w:szCs w:val="20"/>
              </w:rPr>
              <w:t>使学生能够进一步理解机床排故知识，掌握普通机床</w:t>
            </w:r>
          </w:p>
          <w:p>
            <w:pPr>
              <w:widowControl/>
              <w:spacing w:line="300" w:lineRule="auto"/>
              <w:jc w:val="left"/>
              <w:rPr>
                <w:rFonts w:eastAsia="宋体" w:cs="宋体"/>
                <w:sz w:val="20"/>
                <w:szCs w:val="20"/>
              </w:rPr>
            </w:pPr>
            <w:r>
              <w:rPr>
                <w:rFonts w:hint="eastAsia" w:eastAsia="宋体" w:cs="宋体"/>
                <w:sz w:val="20"/>
                <w:szCs w:val="20"/>
              </w:rPr>
              <w:t>典型电气控制线路的装接、调试和排故等技能，培养学生独立思考，采用辩证法分析与解决问题的能力。</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2871" w:type="dxa"/>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学习和了解机电设备故障诊断与维修的概念和发展方向，理解T68镗床、X62万能铣床、Z30/40摇臂钻床和15/3T交流桥式起重机电路的工作原理，并能够根据故障现象，分析故障原理，查找出故障点。</w:t>
            </w:r>
          </w:p>
        </w:tc>
        <w:tc>
          <w:tcPr>
            <w:tcW w:w="929" w:type="dxa"/>
            <w:tcBorders>
              <w:top w:val="nil"/>
              <w:left w:val="nil"/>
              <w:bottom w:val="nil"/>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4/80</w:t>
            </w:r>
          </w:p>
        </w:tc>
        <w:tc>
          <w:tcPr>
            <w:tcW w:w="671"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46"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P</w:t>
            </w:r>
            <w:r>
              <w:rPr>
                <w:rFonts w:hint="eastAsia" w:ascii="宋体" w:hAnsi="宋体" w:eastAsia="宋体" w:cs="宋体"/>
                <w:sz w:val="20"/>
                <w:szCs w:val="20"/>
                <w:lang w:val="en-US" w:eastAsia="zh-CN"/>
              </w:rPr>
              <w:t>LC应用技</w:t>
            </w:r>
            <w:r>
              <w:rPr>
                <w:rFonts w:hint="eastAsia" w:ascii="宋体" w:hAnsi="宋体" w:eastAsia="宋体" w:cs="宋体"/>
                <w:i w:val="0"/>
                <w:iCs w:val="0"/>
                <w:color w:val="000000"/>
                <w:kern w:val="0"/>
                <w:sz w:val="20"/>
                <w:szCs w:val="20"/>
                <w:u w:val="none"/>
                <w:lang w:val="en-US" w:eastAsia="zh-CN" w:bidi="ar"/>
              </w:rPr>
              <w:t>术</w:t>
            </w: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课程以三菱系列PLC为学习载体，重点掌握梯形图编程方法，将控制系统常用的各种输入元件、输出元件与被控对象一起构成应用项目，使学生掌握梯形图语言编程的基本规则与方法，外围接口元件及设备与PLC的连接。围绕PLC的核心技术，锻炼学生的逻辑思维能力，培养学生的应变能力和创新能力。</w:t>
            </w:r>
          </w:p>
        </w:tc>
        <w:tc>
          <w:tcPr>
            <w:tcW w:w="2871" w:type="dxa"/>
            <w:tcBorders>
              <w:top w:val="nil"/>
              <w:left w:val="nil"/>
              <w:bottom w:val="single" w:color="000000" w:sz="8" w:space="0"/>
              <w:right w:val="single" w:color="000000" w:sz="8" w:space="0"/>
            </w:tcBorders>
            <w:shd w:val="clear" w:color="auto" w:fill="auto"/>
            <w:noWrap/>
            <w:vAlign w:val="center"/>
          </w:tcPr>
          <w:p>
            <w:pPr>
              <w:overflowPunct w:val="0"/>
              <w:adjustRightInd w:val="0"/>
              <w:ind w:firstLine="400" w:firstLineChars="200"/>
              <w:rPr>
                <w:rFonts w:ascii="宋体" w:hAnsi="宋体" w:eastAsia="宋体" w:cs="宋体"/>
                <w:sz w:val="20"/>
                <w:szCs w:val="20"/>
              </w:rPr>
            </w:pPr>
            <w:r>
              <w:rPr>
                <w:rFonts w:hint="eastAsia" w:ascii="宋体" w:hAnsi="宋体" w:eastAsia="宋体" w:cs="宋体"/>
                <w:sz w:val="20"/>
                <w:szCs w:val="20"/>
              </w:rPr>
              <w:t>了解PLC编程与接口技术，了解常用小型PLC的结</w:t>
            </w:r>
          </w:p>
          <w:p>
            <w:pPr>
              <w:rPr>
                <w:rFonts w:hint="eastAsia" w:ascii="宋体" w:hAnsi="宋体" w:eastAsia="宋体" w:cs="宋体"/>
                <w:i w:val="0"/>
                <w:iCs w:val="0"/>
                <w:color w:val="000000"/>
                <w:sz w:val="20"/>
                <w:szCs w:val="20"/>
                <w:u w:val="none"/>
              </w:rPr>
            </w:pPr>
            <w:r>
              <w:rPr>
                <w:rFonts w:hint="eastAsia" w:ascii="宋体" w:hAnsi="宋体" w:eastAsia="宋体" w:cs="宋体"/>
                <w:sz w:val="20"/>
                <w:szCs w:val="20"/>
              </w:rPr>
              <w:t>构和特性，掌握常用小型PLC的I/O分配及指令，会使用编程软件，会根据需要编写简单的PLC应用程序，能对可编程控制器控制系统进行安装、调试、运行与维护。</w:t>
            </w:r>
          </w:p>
        </w:tc>
        <w:tc>
          <w:tcPr>
            <w:tcW w:w="929"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2/40</w:t>
            </w:r>
          </w:p>
        </w:tc>
        <w:tc>
          <w:tcPr>
            <w:tcW w:w="67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bidi w:val="0"/>
        <w:rPr>
          <w:rFonts w:hint="eastAsia"/>
        </w:rPr>
      </w:pPr>
    </w:p>
    <w:p>
      <w:pPr>
        <w:bidi w:val="0"/>
        <w:rPr>
          <w:rFonts w:hint="eastAsia"/>
        </w:rPr>
      </w:pPr>
    </w:p>
    <w:p>
      <w:pPr>
        <w:pStyle w:val="39"/>
        <w:numPr>
          <w:ilvl w:val="0"/>
          <w:numId w:val="0"/>
        </w:numPr>
        <w:snapToGrid w:val="0"/>
        <w:spacing w:before="0" w:after="0" w:line="360" w:lineRule="auto"/>
        <w:jc w:val="both"/>
        <w:outlineLvl w:val="2"/>
        <w:rPr>
          <w:rFonts w:hint="default" w:ascii="宋体" w:eastAsia="宋体"/>
          <w:sz w:val="24"/>
          <w:szCs w:val="24"/>
          <w:lang w:val="en-US" w:eastAsia="zh-CN"/>
        </w:rPr>
      </w:pPr>
      <w:r>
        <w:rPr>
          <w:rFonts w:hint="eastAsia" w:ascii="宋体"/>
          <w:sz w:val="24"/>
          <w:szCs w:val="24"/>
          <w:lang w:val="en-US" w:eastAsia="zh-CN"/>
        </w:rPr>
        <w:t>4.专业核心课程</w:t>
      </w:r>
    </w:p>
    <w:tbl>
      <w:tblPr>
        <w:tblStyle w:val="24"/>
        <w:tblW w:w="9740" w:type="dxa"/>
        <w:tblInd w:w="-68" w:type="dxa"/>
        <w:shd w:val="clear" w:color="auto" w:fill="auto"/>
        <w:tblLayout w:type="fixed"/>
        <w:tblCellMar>
          <w:top w:w="0" w:type="dxa"/>
          <w:left w:w="108" w:type="dxa"/>
          <w:bottom w:w="0" w:type="dxa"/>
          <w:right w:w="108" w:type="dxa"/>
        </w:tblCellMar>
      </w:tblPr>
      <w:tblGrid>
        <w:gridCol w:w="728"/>
        <w:gridCol w:w="1225"/>
        <w:gridCol w:w="3153"/>
        <w:gridCol w:w="3051"/>
        <w:gridCol w:w="932"/>
        <w:gridCol w:w="651"/>
      </w:tblGrid>
      <w:tr>
        <w:tblPrEx>
          <w:shd w:val="clear" w:color="auto" w:fill="auto"/>
          <w:tblCellMar>
            <w:top w:w="0" w:type="dxa"/>
            <w:left w:w="108" w:type="dxa"/>
            <w:bottom w:w="0" w:type="dxa"/>
            <w:right w:w="108" w:type="dxa"/>
          </w:tblCellMar>
        </w:tblPrEx>
        <w:trPr>
          <w:trHeight w:val="590" w:hRule="atLeast"/>
          <w:tblHeader/>
        </w:trPr>
        <w:tc>
          <w:tcPr>
            <w:tcW w:w="728" w:type="dxa"/>
            <w:tcBorders>
              <w:top w:val="single" w:color="000000" w:sz="8" w:space="0"/>
              <w:left w:val="single" w:color="000000" w:sz="8" w:space="0"/>
              <w:bottom w:val="nil"/>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225" w:type="dxa"/>
            <w:tcBorders>
              <w:top w:val="single" w:color="000000" w:sz="8" w:space="0"/>
              <w:left w:val="nil"/>
              <w:bottom w:val="nil"/>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3153"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课程目标</w:t>
            </w:r>
          </w:p>
        </w:tc>
        <w:tc>
          <w:tcPr>
            <w:tcW w:w="3051"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主要教学内容与要求</w:t>
            </w:r>
          </w:p>
        </w:tc>
        <w:tc>
          <w:tcPr>
            <w:tcW w:w="932"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学分/学时</w:t>
            </w:r>
          </w:p>
        </w:tc>
        <w:tc>
          <w:tcPr>
            <w:tcW w:w="651"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1000" w:hRule="atLeast"/>
        </w:trPr>
        <w:tc>
          <w:tcPr>
            <w:tcW w:w="72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必修课</w:t>
            </w:r>
          </w:p>
        </w:tc>
        <w:tc>
          <w:tcPr>
            <w:tcW w:w="12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城市轨道交通工程识图</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掌握正投影法的基本理论和作图方法，能够执行制图国家标准及其有关规定，掌握正投影基础概念，掌握机械零件和机器（或部件）的表达原则和方法。</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制图的基本知识和基本技能，点、直线、平面的投影，立体的投影、组合体的视图及尺寸注法，轴测图、机件常用的表达方法，标准件和常用件、零件图、装配图。</w:t>
            </w:r>
          </w:p>
        </w:tc>
        <w:tc>
          <w:tcPr>
            <w:tcW w:w="93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具有绘制和识读零件图和装配图的基本能力，具有较强的空间想象能力，培养绘制和阅读机械图样的节本能力。</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围绕课程目标建立符合职业岗位情景教学环境，考虑学生实际水平和特点，灵活运用多种教学方法激发学生的学习兴趣，提高学习积极性。遵循以学生为主体、教师为辅的原则设计教学活动，课堂以“学”为中心。强调学生职业能力的培养和可持续发展潜力的培养。教学过程中充分发挥学生学习的主动性和积极性。</w:t>
            </w: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培养学生手脑并用的良好学习习惯，养成认真负责的态度和严谨细致的作风，培养学生的团队合作意识。</w:t>
            </w:r>
          </w:p>
        </w:tc>
        <w:tc>
          <w:tcPr>
            <w:tcW w:w="3051"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城市轨道交通概论</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掌握城市轨道交通系统及其子系统之间的联系，以及各子系统中设备的构造和功能。</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城市轨道交通概况、城市轨道交通线网规划与线路设计、城市轨道交通线路与车站、城市轨道交通车辆、城市轨道交通供配电系统、城市轨道交通信号与通信系统、城市轨道交通行车组织与行车调度、城市轨道交通环境控制与安全管理等。</w:t>
            </w:r>
          </w:p>
        </w:tc>
        <w:tc>
          <w:tcPr>
            <w:tcW w:w="93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能正确分析轨道交通线路的种类及作用；有效辨别轨道的不同部件；正确分析城市轨道交通供电系统的工作原理；正确分析城市轨道交通通信与信号系统基本工作原理；具备分析列车运行图的能力；具备城市轨道交通运营管理的基本能力；具备城市轨道交通主要设备的基本使用能力。</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采用“课堂集中教学、课后分组讨论、课堂总结汇报”的课程组织形式，辅助采用多媒体等现代教学工具，充分调动学生学习兴趣，促进学生积极思考，使学生对城市轨道交通系统及其子系统之间的联系，以及各子系统中车站设备的构造和功能进一步掌握，提高学生对城市轨道交通设备和运营组织的认知能力。</w:t>
            </w: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掌握进一步学习城市轨道交通相关专业的基本知识素质。</w:t>
            </w:r>
          </w:p>
        </w:tc>
        <w:tc>
          <w:tcPr>
            <w:tcW w:w="305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57"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自动售检票系统及检修</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3"/>
                <w:sz w:val="20"/>
                <w:szCs w:val="20"/>
                <w:lang w:val="en-US" w:eastAsia="zh-CN" w:bidi="ar"/>
              </w:rPr>
              <w:t>掌握自动售检票系统的基础知识,掌握自动售票机的基本结构和工作原理,掌握自动检票机的基本结构和工作原理,掌握票房售票机的基本结构和工作原理,了解自动验票机和便携式验票机的基本结构和工作原理,掌握SC、LC、ACC的系统架构,了解AFC系统工程施工及其他专业的接口,掌握故障处理方法。</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主要内容：票务工作的原理、票务设备的操作及检修。</w:t>
            </w:r>
          </w:p>
        </w:tc>
        <w:tc>
          <w:tcPr>
            <w:tcW w:w="932"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3"/>
                <w:sz w:val="20"/>
                <w:szCs w:val="20"/>
                <w:lang w:val="en-US" w:eastAsia="zh-CN" w:bidi="ar"/>
              </w:rPr>
              <w:t>通过本课程的学习，使学生能够掌握城市轨道交通票务系统基础设备的组成和工作原理，具备维修城市轨道交通自动售检票系统设备的职业能力和一定的故障解决能力。</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3"/>
                <w:sz w:val="20"/>
                <w:szCs w:val="20"/>
                <w:lang w:val="en-US" w:eastAsia="zh-CN" w:bidi="ar"/>
              </w:rPr>
              <w:t>以“学习任务单”的方式通过车站票务事务、票务设备操作、设备故障分析等学习，使学生具备轨道交通票务工作的基本技能。</w:t>
            </w:r>
          </w:p>
        </w:tc>
        <w:tc>
          <w:tcPr>
            <w:tcW w:w="93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3"/>
                <w:sz w:val="20"/>
                <w:szCs w:val="20"/>
                <w:lang w:val="en-US" w:eastAsia="zh-CN" w:bidi="ar"/>
              </w:rPr>
              <w:t>培养获取、领会和理解外界信息的能力；培养语言表达以及对各类城市轨道交通售检票系统设备故障分析和判断的能力；培养自我发展能力、 学习能力；培养交流沟通和团队协作能力；培养诚实守信、敬业爱岗的良好职业道德；培养主动地思考设备故障问题，独立地分析问题和解决设备问题的能力。</w:t>
            </w:r>
          </w:p>
        </w:tc>
        <w:tc>
          <w:tcPr>
            <w:tcW w:w="305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城市轨道交通员工职业素养</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掌握客运服务基本礼仪的基础上，通过举止言行提高学生个人素养。</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城市轨道交通员工基本素养要求，运营管理员工职业礼仪的基本知识、仪容规范、服饰规范、会面礼仪规范、语言运用艺术、现场接待规范等内容。</w:t>
            </w:r>
          </w:p>
        </w:tc>
        <w:tc>
          <w:tcPr>
            <w:tcW w:w="93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5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74"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运用运营管理员工职业礼仪的基本知识、仪容规范、服饰规范、会面礼仪规范、语言运用艺术、现场接待规范。</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以学生的职业素养能力培养为目标，让学生在感悟中体会职业素养的重要性，并逐步影响学生的思维方式，形成良好的职业习惯。</w:t>
            </w: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408"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能够胜任未来的城市轨道交通运营管理工作，为学生的职业发展奠定坚实的基础。</w:t>
            </w:r>
          </w:p>
        </w:tc>
        <w:tc>
          <w:tcPr>
            <w:tcW w:w="3051"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53"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电扶梯与屏蔽门检修</w:t>
            </w:r>
          </w:p>
        </w:tc>
        <w:tc>
          <w:tcPr>
            <w:tcW w:w="315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4"/>
                <w:sz w:val="20"/>
                <w:szCs w:val="20"/>
                <w:lang w:val="en-US" w:eastAsia="zh-CN" w:bidi="ar"/>
              </w:rPr>
              <w:t xml:space="preserve">掌握电扶梯及地铁屏蔽门原理；了解电扶梯和屏蔽门发展历史的相关知识。掌握电扶梯与屏蔽门的系统组成。了解电扶梯各系统主要安全部件及运作原理。了解电扶梯主要机械部分和电气部分；了解电梯电气原理图。了解电扶梯安装要求及规范；了解电扶梯维保工艺要求；了解电扶梯慢车、快车调试验收。掌握电扶梯安全生产、安装、维修保养的相关要求；了解电扶梯的安装土建图；掌握地铁屏蔽门控制原理；了解屏蔽门一般故障及安全使用规范。 </w:t>
            </w:r>
          </w:p>
        </w:tc>
        <w:tc>
          <w:tcPr>
            <w:tcW w:w="305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4"/>
                <w:sz w:val="20"/>
                <w:szCs w:val="20"/>
                <w:lang w:val="en-US" w:eastAsia="zh-CN" w:bidi="ar"/>
              </w:rPr>
              <w:t xml:space="preserve">电梯基本知识、电梯的结构原理、曳引系统、轿厢和门系统、重量平衡系统、导向系统、安全保护系统、自动扶梯和自动人行道、电扶梯国标等内容；屏蔽门系统概念、功能及种类、主要技术标准、技术发展趋势等。 </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trHeight w:val="2676"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4"/>
                <w:sz w:val="20"/>
                <w:szCs w:val="20"/>
                <w:lang w:val="en-US" w:eastAsia="zh-CN" w:bidi="ar"/>
              </w:rPr>
              <w:t xml:space="preserve">能够正确区分电扶梯的种类及用途。能够有效辨别电扶梯的不同部件。能够正确分析电扶梯系统运行的工作原理。能够正确分析地铁屏蔽门运行工作原理。具备了解识别电扶梯及屏蔽门安全隐患的能力。 </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4"/>
                <w:sz w:val="20"/>
                <w:szCs w:val="20"/>
                <w:lang w:val="en-US" w:eastAsia="zh-CN" w:bidi="ar"/>
              </w:rPr>
              <w:t xml:space="preserve">使学生对电扶梯及地铁屏蔽门功能、原理等有一定认识了解，以及重要安全部件进一步掌握，提高学生对城市轨道交通设备和运营组织的认知能力。 </w:t>
            </w: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78"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4"/>
                <w:sz w:val="20"/>
                <w:szCs w:val="20"/>
                <w:lang w:val="en-US" w:eastAsia="zh-CN" w:bidi="ar"/>
              </w:rPr>
              <w:t>具备监督生产厂家及维保保养单位对电扶梯和屏蔽门的保养质量，对做得不到位的及时沟通处理。</w:t>
            </w:r>
          </w:p>
        </w:tc>
        <w:tc>
          <w:tcPr>
            <w:tcW w:w="305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66"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城市轨道交通行车组织</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城市轨道交通行车组织的基本知识。行车闭塞法的基本原理及连锁设备。全日行车计划的编制。列车运行图的编制步骤与方法。行车指挥和调度工作的方法。车站行车组织方法。熟悉调车作业的基本要求。掌握设备故障情况下的行车组织方法。掌握行车事故处理方法及预防。</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城市轨道交通行车组织概述、行车组织基础、列车开行计划、列车运行图的基本要素与编制、行车调度工作、车站行车组织、车辆基地作业组织、正常情况下的行车组织、非正常情况下的行车组织、施工组织及工程车开行、行车事故处理及预防。</w:t>
            </w:r>
          </w:p>
        </w:tc>
        <w:tc>
          <w:tcPr>
            <w:tcW w:w="93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78"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会编制列车运行图。进行正常情况、设备故障情况下的行车组织作业。进行各种情况下的调车、行车指挥和调度。及时妥善处理行车过程中的事故处理工作。</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使学生掌握城市轨道交通行车组织的操作技能和相关理论知识，通过列车开行计划、列车运行图、行车调度工作、车站行车组织、车辆基地作业组织、施工组织及工程车开行、行车事故处理及预防等。</w:t>
            </w: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2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：学会车站各项作业组织方法，列车运行图的编制及通过能力计算，达到对轨道交通行车组织多项实用技术的理论掌握和实践了解的目的。</w:t>
            </w:r>
          </w:p>
        </w:tc>
        <w:tc>
          <w:tcPr>
            <w:tcW w:w="3051"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28"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城轨环控与消控系统检修</w:t>
            </w:r>
          </w:p>
        </w:tc>
        <w:tc>
          <w:tcPr>
            <w:tcW w:w="315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4"/>
                <w:sz w:val="20"/>
                <w:szCs w:val="20"/>
                <w:lang w:val="en-US" w:eastAsia="zh-CN" w:bidi="ar"/>
              </w:rPr>
              <w:t>熟悉火灾自动报警系统、气体灭火系统设计检修所需要的电工电子、火灾、网络等基础知识要点。熟练掌握消防自控系统运行机理和维修。掌握环控系统的运行机理。掌握环控设备检修及故障处理方法。</w:t>
            </w:r>
          </w:p>
        </w:tc>
        <w:tc>
          <w:tcPr>
            <w:tcW w:w="305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4"/>
                <w:sz w:val="20"/>
                <w:szCs w:val="20"/>
                <w:lang w:val="en-US" w:eastAsia="zh-CN" w:bidi="ar"/>
              </w:rPr>
              <w:t>电子电路基础知识及火灾基础知识、消防自控系统运行和维修、火灾自动报警系统运行原理及检修、气体灭火系统运行原理及检修、环控主要设备及控制系统、环控设备检修及故障处理。</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trHeight w:val="3898"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4"/>
                <w:sz w:val="20"/>
                <w:szCs w:val="20"/>
                <w:lang w:val="en-US" w:eastAsia="zh-CN" w:bidi="ar"/>
              </w:rPr>
              <w:t>了解消防自控系统、火灾自动报警系统及环控系统的构成与运行原理，以适应轨道交通的消控及环控的设计岗位。能运用本课程知识技能维修环控及消控设备，以适应轨道交通的消控环控维保及检测维修等岗位。具备进一步自学拓展相关知识的能力，进一步学习理解环控与消控系统系统集成优化及人员职责调配。</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4"/>
                <w:sz w:val="20"/>
                <w:szCs w:val="20"/>
                <w:lang w:val="en-US" w:eastAsia="zh-CN" w:bidi="ar"/>
              </w:rPr>
              <w:t xml:space="preserve">使学生掌握城市轨道交通环控系统和消防自控系统的操作技能和相关理论知识，通过火灾自动报警系统检修、气体灭火系统检修、环控系统主要设备及控制系统检修及故障处理等知识点的学习，了解消防自控系统、环控系统的工作原理，掌握实际检修操作，达到对城市轨道交通环控系统和消防自控系统的理论掌握和实践了解的目的。 </w:t>
            </w: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35"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4"/>
                <w:sz w:val="20"/>
                <w:szCs w:val="20"/>
                <w:lang w:val="en-US" w:eastAsia="zh-CN" w:bidi="ar"/>
              </w:rPr>
              <w:t>对轨道交通的火灾安全形成敬畏之心，在工作中时刻绷紧安全这根弦，时刻保持战战兢兢如履薄冰的专注。</w:t>
            </w:r>
          </w:p>
        </w:tc>
        <w:tc>
          <w:tcPr>
            <w:tcW w:w="305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453"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城市轨道交通信号设备基础与实训</w:t>
            </w: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3"/>
                <w:sz w:val="20"/>
                <w:szCs w:val="20"/>
                <w:lang w:val="en-US" w:eastAsia="zh-CN" w:bidi="ar"/>
              </w:rPr>
              <w:t>掌握信号系统基础设备的工作原理；掌握ATC及其各子系统的工作原理；掌握列车自动运行、车站程序定位停车工作原理。 手摇道岔步骤流程，信号类故障处理流程</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3"/>
                <w:sz w:val="20"/>
                <w:szCs w:val="20"/>
                <w:lang w:val="en-US" w:eastAsia="zh-CN" w:bidi="ar"/>
              </w:rPr>
              <w:t>通过本课程的学习，使学生能够掌握轨道信号基础设备的组成、作用原理，具备使用城市轨道交通信号基础设备的职业能力和一定的故障处理能力。</w:t>
            </w:r>
          </w:p>
        </w:tc>
        <w:tc>
          <w:tcPr>
            <w:tcW w:w="93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919"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3"/>
                <w:sz w:val="20"/>
                <w:szCs w:val="20"/>
                <w:lang w:val="en-US" w:eastAsia="zh-CN" w:bidi="ar"/>
              </w:rPr>
              <w:t>掌握城市轨道交通信号系统在城市轨道交通系统中的作用；了解城市轨道交通信号系统的主要组成；明确闭塞及联锁的概念；掌握城市轨道交通列车自动运行控制（ATC）系统的发展、不同结构的ATC系统的主要特征、传输的信息内容，掌握ATP、ATO、ATS子系统的组成及功能，熟悉工作原理；掌握列车自动运行和在车站的程序定位停车原理。掌握手摇道岔实操技能，掌握信号类故障处理方法。</w:t>
            </w:r>
          </w:p>
        </w:tc>
        <w:tc>
          <w:tcPr>
            <w:tcW w:w="305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3"/>
                <w:sz w:val="20"/>
                <w:szCs w:val="20"/>
                <w:lang w:val="en-US" w:eastAsia="zh-CN" w:bidi="ar"/>
              </w:rPr>
              <w:t>通过任务清单模式，在模拟城轨信号工区的工作情景下进行信号工技能训练。依托绍兴地铁，以信号日常设备日常运行、维修能力培养为主线展开教学。</w:t>
            </w: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944"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3"/>
                <w:sz w:val="20"/>
                <w:szCs w:val="20"/>
                <w:lang w:val="en-US" w:eastAsia="zh-CN" w:bidi="ar"/>
              </w:rPr>
              <w:t>培养获取、领会和理解外界信息的能力； 培养语言表达以及对各类信号设备故障分析和判断的能力；培养自我发展能力、 学习能力；培养交流沟通和团队协作能力；培养诚实守信、敬业爱岗的良好职业道德；培养主动地思考问题，独立地分析问题和解决问题的能力。培养迅速果断处理信号设备故障的处置技能。</w:t>
            </w:r>
          </w:p>
        </w:tc>
        <w:tc>
          <w:tcPr>
            <w:tcW w:w="305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93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9"/>
        <w:numPr>
          <w:ilvl w:val="0"/>
          <w:numId w:val="0"/>
        </w:numPr>
        <w:snapToGrid w:val="0"/>
        <w:spacing w:before="0" w:after="0" w:line="360" w:lineRule="auto"/>
        <w:jc w:val="both"/>
        <w:outlineLvl w:val="2"/>
        <w:rPr>
          <w:rFonts w:hint="default" w:ascii="宋体" w:eastAsia="宋体"/>
          <w:sz w:val="24"/>
          <w:szCs w:val="24"/>
          <w:lang w:val="en-US" w:eastAsia="zh-CN"/>
        </w:rPr>
      </w:pPr>
      <w:r>
        <w:rPr>
          <w:rFonts w:hint="eastAsia" w:ascii="宋体"/>
          <w:sz w:val="24"/>
          <w:szCs w:val="24"/>
          <w:lang w:val="en-US" w:eastAsia="zh-CN"/>
        </w:rPr>
        <w:t>5.专业拓展课程</w:t>
      </w:r>
    </w:p>
    <w:tbl>
      <w:tblPr>
        <w:tblStyle w:val="24"/>
        <w:tblW w:w="9740" w:type="dxa"/>
        <w:tblInd w:w="-68" w:type="dxa"/>
        <w:shd w:val="clear" w:color="auto" w:fill="auto"/>
        <w:tblLayout w:type="fixed"/>
        <w:tblCellMar>
          <w:top w:w="0" w:type="dxa"/>
          <w:left w:w="108" w:type="dxa"/>
          <w:bottom w:w="0" w:type="dxa"/>
          <w:right w:w="108" w:type="dxa"/>
        </w:tblCellMar>
      </w:tblPr>
      <w:tblGrid>
        <w:gridCol w:w="728"/>
        <w:gridCol w:w="1225"/>
        <w:gridCol w:w="3587"/>
        <w:gridCol w:w="2681"/>
        <w:gridCol w:w="868"/>
        <w:gridCol w:w="651"/>
      </w:tblGrid>
      <w:tr>
        <w:tblPrEx>
          <w:shd w:val="clear" w:color="auto" w:fill="auto"/>
          <w:tblCellMar>
            <w:top w:w="0" w:type="dxa"/>
            <w:left w:w="108" w:type="dxa"/>
            <w:bottom w:w="0" w:type="dxa"/>
            <w:right w:w="108" w:type="dxa"/>
          </w:tblCellMar>
        </w:tblPrEx>
        <w:trPr>
          <w:trHeight w:val="590" w:hRule="atLeast"/>
          <w:tblHeader/>
        </w:trPr>
        <w:tc>
          <w:tcPr>
            <w:tcW w:w="728" w:type="dxa"/>
            <w:tcBorders>
              <w:top w:val="single" w:color="000000" w:sz="8" w:space="0"/>
              <w:left w:val="single" w:color="000000" w:sz="8" w:space="0"/>
              <w:bottom w:val="nil"/>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225"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3587"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课程目标</w:t>
            </w:r>
          </w:p>
        </w:tc>
        <w:tc>
          <w:tcPr>
            <w:tcW w:w="2681"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主要教学内容与要求</w:t>
            </w:r>
          </w:p>
        </w:tc>
        <w:tc>
          <w:tcPr>
            <w:tcW w:w="868"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学分/学时</w:t>
            </w:r>
          </w:p>
        </w:tc>
        <w:tc>
          <w:tcPr>
            <w:tcW w:w="651" w:type="dxa"/>
            <w:tcBorders>
              <w:top w:val="single" w:color="000000" w:sz="8" w:space="0"/>
              <w:left w:val="nil"/>
              <w:bottom w:val="single" w:color="000000" w:sz="8" w:space="0"/>
              <w:right w:val="single" w:color="000000" w:sz="8"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90" w:hRule="atLeast"/>
        </w:trPr>
        <w:tc>
          <w:tcPr>
            <w:tcW w:w="72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选修课</w:t>
            </w: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城市轨道交通法规</w:t>
            </w: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Fonts w:hint="eastAsia" w:ascii="宋体" w:hAnsi="宋体" w:eastAsia="宋体" w:cs="宋体"/>
                <w:i w:val="0"/>
                <w:iCs w:val="0"/>
                <w:color w:val="000000"/>
                <w:kern w:val="0"/>
                <w:sz w:val="20"/>
                <w:szCs w:val="20"/>
                <w:u w:val="none"/>
                <w:lang w:val="en-US" w:eastAsia="zh-CN" w:bidi="ar"/>
              </w:rPr>
              <w:t>掌握我国法律的基本知识及国家方针政策轨道交通法律关系和轨道交通企业经营管理的法律制度及轨道交通运营管理中的相关法律法规。</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Fonts w:hint="eastAsia" w:ascii="宋体" w:hAnsi="宋体" w:eastAsia="宋体" w:cs="宋体"/>
                <w:i w:val="0"/>
                <w:iCs w:val="0"/>
                <w:color w:val="000000"/>
                <w:kern w:val="0"/>
                <w:sz w:val="20"/>
                <w:szCs w:val="20"/>
                <w:u w:val="none"/>
                <w:lang w:val="en-US" w:eastAsia="zh-CN" w:bidi="ar"/>
              </w:rPr>
              <w:t>轨道交通法规导论、城市轨道交通相关法律、城市轨道交通相关法规、城市轨道交通规章与标准。</w:t>
            </w:r>
          </w:p>
        </w:tc>
        <w:tc>
          <w:tcPr>
            <w:tcW w:w="86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5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Fonts w:hint="eastAsia" w:ascii="宋体" w:hAnsi="宋体" w:eastAsia="宋体" w:cs="宋体"/>
                <w:i w:val="0"/>
                <w:iCs w:val="0"/>
                <w:color w:val="000000"/>
                <w:kern w:val="0"/>
                <w:sz w:val="20"/>
                <w:szCs w:val="20"/>
                <w:u w:val="none"/>
                <w:lang w:val="en-US" w:eastAsia="zh-CN" w:bidi="ar"/>
              </w:rPr>
              <w:t>使学生分清轨道交通运营中的法律主体之间的关系，达到运用所学轨道交通法律法规知识分析在轨道交通运营实践中的法律问题；提高学生依法分析问题、解决轨道交通客运纠纷的能力，从而为我国的轨道交通运输行业的发展培养高技能的应用性人才。</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Fonts w:hint="eastAsia" w:ascii="宋体" w:hAnsi="宋体" w:eastAsia="宋体" w:cs="宋体"/>
                <w:i w:val="0"/>
                <w:iCs w:val="0"/>
                <w:color w:val="000000"/>
                <w:kern w:val="0"/>
                <w:sz w:val="20"/>
                <w:szCs w:val="20"/>
                <w:u w:val="none"/>
                <w:lang w:val="en-US" w:eastAsia="zh-CN" w:bidi="ar"/>
              </w:rPr>
              <w:t>以“学习任务单”的方式通过掌握城市轨道交通相关法律、城市轨道交通相关法规、城市轨道交通规章与标准的学习，使学生具备轨道交通法规的基本理论知识和实际生产操作技能的基础。</w:t>
            </w: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Fonts w:hint="eastAsia" w:ascii="宋体" w:hAnsi="宋体" w:eastAsia="宋体" w:cs="宋体"/>
                <w:i w:val="0"/>
                <w:iCs w:val="0"/>
                <w:color w:val="000000"/>
                <w:kern w:val="0"/>
                <w:sz w:val="20"/>
                <w:szCs w:val="20"/>
                <w:u w:val="none"/>
                <w:lang w:val="en-US" w:eastAsia="zh-CN" w:bidi="ar"/>
              </w:rPr>
              <w:t>旨在培养学生按照轨道交通法律法规完成轨道交通运营管理工作。</w:t>
            </w:r>
          </w:p>
        </w:tc>
        <w:tc>
          <w:tcPr>
            <w:tcW w:w="268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395"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城市轨道交通车站设备</w:t>
            </w:r>
          </w:p>
        </w:tc>
        <w:tc>
          <w:tcPr>
            <w:tcW w:w="358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5"/>
                <w:sz w:val="20"/>
                <w:szCs w:val="20"/>
                <w:lang w:val="en-US" w:eastAsia="zh-CN" w:bidi="ar"/>
              </w:rPr>
              <w:t>了解城市轨道交通车站的基本概念、分类及每种类型的适用范围。掌握轨道交通车站设备的基本配置原则和方法。了解车站低压配电系统的组成、配电负荷、负荷分类。掌握环控系统、火灾自动报警系统的分类、功能及其设备使用方法。了解电扶梯的基本参数、工作原理、基本功能。掌握半自动售票机使用方法。了解屏蔽门系统在各种运行条件下的控制方式。了解机电设备监控系统的设备组成、监控内容和系统的操作方法。</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5"/>
                <w:sz w:val="20"/>
                <w:szCs w:val="20"/>
                <w:lang w:val="en-US" w:eastAsia="zh-CN" w:bidi="ar"/>
              </w:rPr>
              <w:t>城市轨道交通的车站类型及其功能、车站设备，其中包括低压配电及照明系统、通风和环控系统、给排水和消防系统、电扶梯系统、自动售检票系统、信号和通信系统以及机电设备综合监控系统等内容。</w:t>
            </w:r>
          </w:p>
        </w:tc>
        <w:tc>
          <w:tcPr>
            <w:tcW w:w="86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99"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5"/>
                <w:sz w:val="20"/>
                <w:szCs w:val="20"/>
                <w:lang w:val="en-US" w:eastAsia="zh-CN" w:bidi="ar"/>
              </w:rPr>
              <w:t>能够正确认识城市轨道交通车站设备的概念、功能、特点及使用方法。能够区分车站低压配电系统不同设备的供电负荷及其负荷分类。能够根据运营情况，正确控制车站低压配电系统的运行等级。能够识别给排水系统、自动售检票系统以及屏蔽门系统的故障，并且明确其处理方法。具备火灾现场处理屏蔽门系统的控制能力。具备轨交交通通信设备联锁和闭塞的基本控制能力。具备机电设备综合监控系统的基本使用能力。</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5"/>
                <w:sz w:val="20"/>
                <w:szCs w:val="20"/>
                <w:lang w:val="en-US" w:eastAsia="zh-CN" w:bidi="ar"/>
              </w:rPr>
              <w:t>使学生对城市轨道交通车站设备的多种功能以及各子系统中车站设备的构造和功能进一步掌握，从使学生对城市轨道交通车站设备有更加全面和深刻的理解。</w:t>
            </w: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496"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5"/>
                <w:sz w:val="20"/>
                <w:szCs w:val="20"/>
                <w:lang w:val="en-US" w:eastAsia="zh-CN" w:bidi="ar"/>
              </w:rPr>
              <w:t>使学生对城市轨道交通车站设备及其使用方法和具体功能有充分的认识，并且能在不同情况下正确操作设备、运用相应的运营模式。</w:t>
            </w:r>
          </w:p>
        </w:tc>
        <w:tc>
          <w:tcPr>
            <w:tcW w:w="268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城市轨道交通车站运作管理</w:t>
            </w: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Fonts w:hint="eastAsia" w:ascii="宋体" w:hAnsi="宋体" w:eastAsia="宋体" w:cs="宋体"/>
                <w:i w:val="0"/>
                <w:iCs w:val="0"/>
                <w:color w:val="000000"/>
                <w:kern w:val="0"/>
                <w:sz w:val="20"/>
                <w:szCs w:val="20"/>
                <w:u w:val="none"/>
                <w:lang w:val="en-US" w:eastAsia="zh-CN" w:bidi="ar"/>
              </w:rPr>
              <w:t>对车站管理的各个管理环节作初步了解，包括车站设置、车站管理、接管、车站设备设施管理、车站行车业务、车站客运业务、票务业务、车站施工管理、安全管理、综合管理、应急处理等。</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Fonts w:hint="eastAsia" w:ascii="宋体" w:hAnsi="宋体" w:eastAsia="宋体" w:cs="宋体"/>
                <w:i w:val="0"/>
                <w:iCs w:val="0"/>
                <w:color w:val="000000"/>
                <w:kern w:val="0"/>
                <w:sz w:val="20"/>
                <w:szCs w:val="20"/>
                <w:u w:val="none"/>
                <w:lang w:val="en-US" w:eastAsia="zh-CN" w:bidi="ar"/>
              </w:rPr>
              <w:t>车站概述、车站管理概述、新线车站接管、车站设备设施管理、车站行车业务、车站客运业务、车站票务业务、车站施工管理、车站安全管理、车站综合管理、车站应急处置</w:t>
            </w:r>
          </w:p>
        </w:tc>
        <w:tc>
          <w:tcPr>
            <w:tcW w:w="86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Fonts w:hint="eastAsia" w:ascii="宋体" w:hAnsi="宋体" w:eastAsia="宋体" w:cs="宋体"/>
                <w:i w:val="0"/>
                <w:iCs w:val="0"/>
                <w:color w:val="000000"/>
                <w:kern w:val="0"/>
                <w:sz w:val="20"/>
                <w:szCs w:val="20"/>
                <w:u w:val="none"/>
                <w:lang w:val="en-US" w:eastAsia="zh-CN" w:bidi="ar"/>
              </w:rPr>
              <w:t>基本能熟练操作车站内各类设施设备，能进行最基础的车站应急处理。</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Fonts w:hint="eastAsia" w:ascii="宋体" w:hAnsi="宋体" w:eastAsia="宋体" w:cs="宋体"/>
                <w:i w:val="0"/>
                <w:iCs w:val="0"/>
                <w:color w:val="000000"/>
                <w:kern w:val="0"/>
                <w:sz w:val="20"/>
                <w:szCs w:val="20"/>
                <w:u w:val="none"/>
                <w:lang w:val="en-US" w:eastAsia="zh-CN" w:bidi="ar"/>
              </w:rPr>
              <w:t>以理论教学为基础，并坚持理论与实际相结合、教师与企业专业相结合、传统教学手段与现代教育技术应用相结合等原则，着力提升教学效果。</w:t>
            </w: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Fonts w:hint="eastAsia" w:ascii="宋体" w:hAnsi="宋体" w:eastAsia="宋体" w:cs="宋体"/>
                <w:i w:val="0"/>
                <w:iCs w:val="0"/>
                <w:color w:val="000000"/>
                <w:kern w:val="0"/>
                <w:sz w:val="20"/>
                <w:szCs w:val="20"/>
                <w:u w:val="none"/>
                <w:lang w:val="en-US" w:eastAsia="zh-CN" w:bidi="ar"/>
              </w:rPr>
              <w:t>培养学生团队合作、微笑服务意识、工作主动性的基本职业素养。</w:t>
            </w:r>
          </w:p>
        </w:tc>
        <w:tc>
          <w:tcPr>
            <w:tcW w:w="268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城轨应急处理与公共安全</w:t>
            </w: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Fonts w:hint="eastAsia" w:ascii="宋体" w:hAnsi="宋体" w:eastAsia="宋体" w:cs="宋体"/>
                <w:i w:val="0"/>
                <w:iCs w:val="0"/>
                <w:color w:val="000000"/>
                <w:kern w:val="0"/>
                <w:sz w:val="20"/>
                <w:szCs w:val="20"/>
                <w:u w:val="none"/>
                <w:lang w:val="en-US" w:eastAsia="zh-CN" w:bidi="ar"/>
              </w:rPr>
              <w:t>掌握城市轨道安全管理的概念及安全管理相关知识。了解安全标志的定义、作用、类型及布置要求。了解城市轨道交通运营劳动安全守则。了解城市轨道交通事故报告要求、原则、流程与内容，事故调查的内容、手段。掌握城市轨道交通运营行车安全事故预防等。掌握城市轨道交通常见故障的应急处置。</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Fonts w:hint="eastAsia" w:ascii="宋体" w:hAnsi="宋体" w:eastAsia="宋体" w:cs="宋体"/>
                <w:i w:val="0"/>
                <w:iCs w:val="0"/>
                <w:color w:val="000000"/>
                <w:kern w:val="0"/>
                <w:sz w:val="20"/>
                <w:szCs w:val="20"/>
                <w:u w:val="none"/>
                <w:lang w:val="en-US" w:eastAsia="zh-CN" w:bidi="ar"/>
              </w:rPr>
              <w:t>城市轨道交通安全管理基础、安全文化、应急管理、运营行车安全事故预防、设备安全事故预防、突发事件现场应急处置、安全案例分析。</w:t>
            </w:r>
          </w:p>
        </w:tc>
        <w:tc>
          <w:tcPr>
            <w:tcW w:w="86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Fonts w:hint="eastAsia" w:ascii="宋体" w:hAnsi="宋体" w:eastAsia="宋体" w:cs="宋体"/>
                <w:i w:val="0"/>
                <w:iCs w:val="0"/>
                <w:color w:val="000000"/>
                <w:kern w:val="0"/>
                <w:sz w:val="20"/>
                <w:szCs w:val="20"/>
                <w:u w:val="none"/>
                <w:lang w:val="en-US" w:eastAsia="zh-CN" w:bidi="ar"/>
              </w:rPr>
              <w:t>能正确认识安全生产形势及安全文化建设的重要性。有效辨别各类安全标志。掌握事故报告流程及事故调查处置。正确进行相关行车安全事故的预防。具备城市轨道交通安全管理的基本能力。</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Fonts w:hint="eastAsia" w:ascii="宋体" w:hAnsi="宋体" w:eastAsia="宋体" w:cs="宋体"/>
                <w:i w:val="0"/>
                <w:iCs w:val="0"/>
                <w:color w:val="000000"/>
                <w:kern w:val="0"/>
                <w:sz w:val="20"/>
                <w:szCs w:val="20"/>
                <w:u w:val="none"/>
                <w:lang w:val="en-US" w:eastAsia="zh-CN" w:bidi="ar"/>
              </w:rPr>
              <w:t>采用“课堂集中教学、课后分组讨论、课堂总结汇报”的课程组织形式，辅助采用多媒体等现代教学工具，充分调动学生学习兴趣，促进学生积极思考，使学生对城市轨道交通安全管理进一步掌握，提高学生对城市轨道交通安全管理的认知能力。</w:t>
            </w: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Fonts w:hint="eastAsia" w:ascii="宋体" w:hAnsi="宋体" w:eastAsia="宋体" w:cs="宋体"/>
                <w:i w:val="0"/>
                <w:iCs w:val="0"/>
                <w:color w:val="000000"/>
                <w:kern w:val="0"/>
                <w:sz w:val="20"/>
                <w:szCs w:val="20"/>
                <w:u w:val="none"/>
                <w:lang w:val="en-US" w:eastAsia="zh-CN" w:bidi="ar"/>
              </w:rPr>
              <w:t>旨在培养学生的基本安全知识、安全技能与综合安全素质。</w:t>
            </w:r>
          </w:p>
        </w:tc>
        <w:tc>
          <w:tcPr>
            <w:tcW w:w="2681"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城市轨道交通站务实训</w:t>
            </w: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Fonts w:hint="eastAsia" w:ascii="宋体" w:hAnsi="宋体" w:eastAsia="宋体" w:cs="宋体"/>
                <w:i w:val="0"/>
                <w:iCs w:val="0"/>
                <w:color w:val="000000"/>
                <w:kern w:val="0"/>
                <w:sz w:val="20"/>
                <w:szCs w:val="20"/>
                <w:u w:val="none"/>
                <w:lang w:val="en-US" w:eastAsia="zh-CN" w:bidi="ar"/>
              </w:rPr>
              <w:t>掌握车站初级站务员理论知识，包括车站运作基础、安全基础知识、车站行车组织与施工组织、车站客运服务与组织、票务组织、应急管理。</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Fonts w:hint="eastAsia" w:ascii="宋体" w:hAnsi="宋体" w:eastAsia="宋体" w:cs="宋体"/>
                <w:i w:val="0"/>
                <w:iCs w:val="0"/>
                <w:color w:val="000000"/>
                <w:kern w:val="0"/>
                <w:sz w:val="20"/>
                <w:szCs w:val="20"/>
                <w:u w:val="none"/>
                <w:lang w:val="en-US" w:eastAsia="zh-CN" w:bidi="ar"/>
              </w:rPr>
              <w:t>城市轨道交通初级站务员必须具备的理论与实操内容。</w:t>
            </w:r>
          </w:p>
        </w:tc>
        <w:tc>
          <w:tcPr>
            <w:tcW w:w="86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Fonts w:hint="eastAsia" w:ascii="宋体" w:hAnsi="宋体" w:eastAsia="宋体" w:cs="宋体"/>
                <w:i w:val="0"/>
                <w:iCs w:val="0"/>
                <w:color w:val="000000"/>
                <w:kern w:val="0"/>
                <w:sz w:val="20"/>
                <w:szCs w:val="20"/>
                <w:u w:val="none"/>
                <w:lang w:val="en-US" w:eastAsia="zh-CN" w:bidi="ar"/>
              </w:rPr>
              <w:t>客运服务方面，能开展服务秩序维护（设备状态巡视、乘客状态巡视），能进行乘客事务处理（寻人寻物、乘客问询与建议），能进行基本的客流组织（引导乘客有序进站乘车，疏导乘客有序出站）。票务运作方面，能进行售卖票过程现金票据管理，能进行基本的票务事务处理。行车组织方面，能进行基本站台岗作业，配合车控室开展非正常情况下的行车组织。</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Fonts w:hint="eastAsia" w:ascii="宋体" w:hAnsi="宋体" w:eastAsia="宋体" w:cs="宋体"/>
                <w:i w:val="0"/>
                <w:iCs w:val="0"/>
                <w:color w:val="000000"/>
                <w:kern w:val="0"/>
                <w:sz w:val="20"/>
                <w:szCs w:val="20"/>
                <w:u w:val="none"/>
                <w:lang w:val="en-US" w:eastAsia="zh-CN" w:bidi="ar"/>
              </w:rPr>
              <w:t>以1+X 站务员证书为导向，采用任务清单形式，学生分小组学习，展开理论和实训教与学。</w:t>
            </w: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Fonts w:hint="eastAsia" w:ascii="宋体" w:hAnsi="宋体" w:eastAsia="宋体" w:cs="宋体"/>
                <w:i w:val="0"/>
                <w:iCs w:val="0"/>
                <w:color w:val="000000"/>
                <w:kern w:val="0"/>
                <w:sz w:val="20"/>
                <w:szCs w:val="20"/>
                <w:u w:val="none"/>
                <w:lang w:val="en-US" w:eastAsia="zh-CN" w:bidi="ar"/>
              </w:rPr>
              <w:t>培养学生牢固树立安全第一意识，有较高的服务意识，能主动解决问题，团结合作，为地铁服务树立一道良好的服务风景线。</w:t>
            </w:r>
          </w:p>
        </w:tc>
        <w:tc>
          <w:tcPr>
            <w:tcW w:w="2681"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86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单片机原理与应用</w:t>
            </w:r>
          </w:p>
        </w:tc>
        <w:tc>
          <w:tcPr>
            <w:tcW w:w="358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Fonts w:hint="eastAsia" w:ascii="宋体" w:hAnsi="宋体" w:eastAsia="宋体" w:cs="宋体"/>
                <w:i w:val="0"/>
                <w:iCs w:val="0"/>
                <w:color w:val="000000"/>
                <w:kern w:val="0"/>
                <w:sz w:val="20"/>
                <w:szCs w:val="20"/>
                <w:u w:val="none"/>
                <w:lang w:val="en-US" w:eastAsia="zh-CN" w:bidi="ar"/>
              </w:rPr>
              <w:t>熟悉单片机的基本结构，内部资源和指令系统，常用的键盘、显示、A/D与D/A转换等接口技术。熟练使用仿真开发工具、单片机开发系统的搭建与使用。掌握简单的单片机应用系统设计制作。掌握单片机硬件接口电路的设计与制作。掌握运用汇编语言进行单片机程序的编写与调试。</w:t>
            </w:r>
          </w:p>
        </w:tc>
        <w:tc>
          <w:tcPr>
            <w:tcW w:w="268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Fonts w:hint="eastAsia" w:ascii="宋体" w:hAnsi="宋体" w:eastAsia="宋体" w:cs="宋体"/>
                <w:i w:val="0"/>
                <w:iCs w:val="0"/>
                <w:color w:val="000000"/>
                <w:kern w:val="0"/>
                <w:sz w:val="20"/>
                <w:szCs w:val="20"/>
                <w:u w:val="none"/>
                <w:lang w:val="en-US" w:eastAsia="zh-CN" w:bidi="ar"/>
              </w:rPr>
              <w:t>认识单片机及仿真开发工具、单片机外形、内脏、单片机思想、单片机简单控制、有声有色的单片机、单片机的外交、简单智能产品设计与制作。</w:t>
            </w:r>
          </w:p>
        </w:tc>
        <w:tc>
          <w:tcPr>
            <w:tcW w:w="86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51" w:type="dxa"/>
            <w:vMerge w:val="restart"/>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8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Fonts w:hint="eastAsia" w:ascii="宋体" w:hAnsi="宋体" w:eastAsia="宋体" w:cs="宋体"/>
                <w:i w:val="0"/>
                <w:iCs w:val="0"/>
                <w:color w:val="000000"/>
                <w:kern w:val="0"/>
                <w:sz w:val="20"/>
                <w:szCs w:val="20"/>
                <w:u w:val="none"/>
                <w:lang w:val="en-US" w:eastAsia="zh-CN" w:bidi="ar"/>
              </w:rPr>
              <w:t xml:space="preserve">能独立设计和制作简单的单片机应用系统（软件和硬件），以适应电子产品辅助开发岗位。能运用本课程知识技能维修单片机应用设备和产品，以适应电子产品生产的安装、检测维修、售后服务等岗位。具备进一步自学拓展相关知识的能力，如自学应用其它型号微处理器的能力。 </w:t>
            </w:r>
          </w:p>
        </w:tc>
        <w:tc>
          <w:tcPr>
            <w:tcW w:w="26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Fonts w:hint="eastAsia" w:ascii="宋体" w:hAnsi="宋体" w:eastAsia="宋体" w:cs="宋体"/>
                <w:i w:val="0"/>
                <w:iCs w:val="0"/>
                <w:color w:val="000000"/>
                <w:kern w:val="0"/>
                <w:sz w:val="20"/>
                <w:szCs w:val="20"/>
                <w:u w:val="none"/>
                <w:lang w:val="en-US" w:eastAsia="zh-CN" w:bidi="ar"/>
              </w:rPr>
              <w:t xml:space="preserve">通过完成以单片机应用产品为载体的项目任务活动，让学生掌握简单单片机应用系统的软硬件设计、制作调试、检测维修等相关知识和技能，并培养学生良好的职业素养，为从事单片机应用产品开发等相关工作打好基础。 </w:t>
            </w:r>
          </w:p>
        </w:tc>
        <w:tc>
          <w:tcPr>
            <w:tcW w:w="86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0" w:hRule="atLeast"/>
        </w:trPr>
        <w:tc>
          <w:tcPr>
            <w:tcW w:w="7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Fonts w:hint="eastAsia" w:ascii="宋体" w:hAnsi="宋体" w:eastAsia="宋体" w:cs="宋体"/>
                <w:i w:val="0"/>
                <w:iCs w:val="0"/>
                <w:color w:val="000000"/>
                <w:kern w:val="0"/>
                <w:sz w:val="20"/>
                <w:szCs w:val="20"/>
                <w:u w:val="none"/>
                <w:lang w:val="en-US" w:eastAsia="zh-CN" w:bidi="ar"/>
              </w:rPr>
              <w:t xml:space="preserve">本课程从单片机应用产品开发岗位需求出发，培养学生单片机应用系统的硬软件设计、制作调试、测试维修等技能型人才所必需的职业能力、职业素质和创新意识。 </w:t>
            </w:r>
          </w:p>
        </w:tc>
        <w:tc>
          <w:tcPr>
            <w:tcW w:w="268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6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1" w:type="dxa"/>
            <w:vMerge w:val="continue"/>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bidi w:val="0"/>
        <w:rPr>
          <w:rFonts w:hint="eastAsia"/>
        </w:rPr>
      </w:pPr>
    </w:p>
    <w:p>
      <w:pPr>
        <w:bidi w:val="0"/>
        <w:rPr>
          <w:rFonts w:hint="eastAsia"/>
        </w:rPr>
      </w:pPr>
    </w:p>
    <w:p>
      <w:pPr>
        <w:bidi w:val="0"/>
        <w:rPr>
          <w:rFonts w:hint="eastAsia"/>
        </w:rPr>
      </w:pPr>
    </w:p>
    <w:p>
      <w:pPr>
        <w:bidi w:val="0"/>
        <w:rPr>
          <w:rFonts w:hint="eastAsia"/>
        </w:rPr>
      </w:pPr>
    </w:p>
    <w:p>
      <w:pPr>
        <w:keepNext/>
        <w:keepLines/>
        <w:snapToGrid w:val="0"/>
        <w:spacing w:line="440" w:lineRule="exact"/>
        <w:ind w:firstLine="419" w:firstLineChars="174"/>
        <w:outlineLvl w:val="2"/>
        <w:rPr>
          <w:rFonts w:ascii="宋体" w:cs="宋体"/>
          <w:b/>
          <w:bCs/>
          <w:kern w:val="44"/>
          <w:sz w:val="24"/>
        </w:rPr>
      </w:pPr>
      <w:r>
        <w:rPr>
          <w:rFonts w:hint="eastAsia" w:ascii="宋体" w:hAnsi="宋体" w:cs="宋体"/>
          <w:b/>
          <w:bCs/>
          <w:kern w:val="44"/>
          <w:sz w:val="24"/>
        </w:rPr>
        <w:t>（三）实践教学体系</w:t>
      </w:r>
    </w:p>
    <w:p>
      <w:pPr>
        <w:keepNext/>
        <w:keepLines/>
        <w:snapToGrid w:val="0"/>
        <w:spacing w:before="156" w:beforeLines="50" w:after="156" w:afterLines="50" w:line="440" w:lineRule="exact"/>
        <w:ind w:firstLine="419" w:firstLineChars="174"/>
        <w:outlineLvl w:val="2"/>
        <w:rPr>
          <w:rFonts w:ascii="宋体" w:cs="宋体"/>
          <w:b/>
          <w:bCs/>
          <w:kern w:val="44"/>
          <w:sz w:val="24"/>
        </w:rPr>
      </w:pPr>
      <w:r>
        <w:rPr>
          <w:rFonts w:ascii="宋体" w:hAnsi="宋体" w:cs="宋体"/>
          <w:b/>
          <w:bCs/>
          <w:kern w:val="44"/>
          <w:sz w:val="24"/>
        </w:rPr>
        <w:t>1.</w:t>
      </w:r>
      <w:r>
        <w:rPr>
          <w:rFonts w:hint="eastAsia" w:ascii="宋体" w:hAnsi="宋体" w:cs="宋体"/>
          <w:b/>
          <w:bCs/>
          <w:kern w:val="44"/>
          <w:sz w:val="24"/>
        </w:rPr>
        <w:t>实践教学体系结构图</w:t>
      </w:r>
    </w:p>
    <w:p>
      <w:pPr>
        <w:snapToGrid w:val="0"/>
        <w:spacing w:line="440" w:lineRule="exact"/>
        <w:ind w:firstLine="480" w:firstLineChars="200"/>
        <w:rPr>
          <w:rFonts w:hint="eastAsia"/>
          <w:color w:val="000000"/>
          <w:sz w:val="24"/>
        </w:rPr>
      </w:pPr>
      <w:r>
        <w:rPr>
          <w:rFonts w:hint="eastAsia"/>
          <w:color w:val="000000"/>
          <w:sz w:val="24"/>
        </w:rPr>
        <w:t>根据城市轨道交通运营管理相关岗位的能力要求，建立“课程实训、专项技能实训、岗位强化实训、校外实习”四个层次递进的实践教学体系，其结构如图</w:t>
      </w:r>
      <w:r>
        <w:rPr>
          <w:color w:val="000000"/>
          <w:sz w:val="24"/>
        </w:rPr>
        <w:t>2</w:t>
      </w:r>
      <w:r>
        <w:rPr>
          <w:rFonts w:hint="eastAsia"/>
          <w:color w:val="000000"/>
          <w:sz w:val="24"/>
        </w:rPr>
        <w:t>所示，其中专项技能实训和岗位强化实训以校内独立实训周的形式开展。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color w:val="000000"/>
          <w:sz w:val="24"/>
        </w:rPr>
      </w:pPr>
      <w:r>
        <w:rPr>
          <w:rFonts w:ascii="宋体" w:hAnsi="宋体"/>
          <w:b/>
          <w:color w:val="000000"/>
          <w:szCs w:val="21"/>
        </w:rPr>
        <w:pict>
          <v:shape id="_x0000_i1026" o:spt="75" type="#_x0000_t75" style="height:232.3pt;width:432pt;" filled="f" o:preferrelative="t" stroked="f" coordsize="21600,21600">
            <v:path/>
            <v:fill on="f" focussize="0,0"/>
            <v:stroke on="f"/>
            <v:imagedata r:id="rId6" o:title=""/>
            <o:lock v:ext="edit" aspectratio="t"/>
            <w10:wrap type="none"/>
            <w10:anchorlock/>
          </v:shape>
        </w:pict>
      </w:r>
    </w:p>
    <w:p>
      <w:pPr>
        <w:snapToGrid w:val="0"/>
        <w:spacing w:line="440" w:lineRule="exact"/>
        <w:jc w:val="center"/>
        <w:rPr>
          <w:rFonts w:ascii="宋体"/>
          <w:b/>
          <w:color w:val="000000"/>
          <w:szCs w:val="21"/>
        </w:rPr>
      </w:pPr>
      <w:r>
        <w:rPr>
          <w:rFonts w:hint="eastAsia" w:ascii="宋体" w:hAnsi="宋体"/>
          <w:b/>
          <w:color w:val="000000"/>
          <w:szCs w:val="21"/>
        </w:rPr>
        <w:t>图</w:t>
      </w:r>
      <w:r>
        <w:rPr>
          <w:rFonts w:ascii="宋体" w:hAnsi="宋体"/>
          <w:b/>
          <w:color w:val="000000"/>
          <w:szCs w:val="21"/>
        </w:rPr>
        <w:t xml:space="preserve">2 </w:t>
      </w:r>
      <w:r>
        <w:rPr>
          <w:rFonts w:hint="eastAsia" w:ascii="宋体" w:hAnsi="宋体"/>
          <w:b/>
          <w:color w:val="000000"/>
          <w:szCs w:val="21"/>
        </w:rPr>
        <w:t xml:space="preserve"> 实践教学体系结构图</w:t>
      </w:r>
    </w:p>
    <w:p>
      <w:pPr>
        <w:keepNext/>
        <w:keepLines/>
        <w:snapToGrid w:val="0"/>
        <w:spacing w:before="156" w:beforeLines="50" w:after="156" w:afterLines="50" w:line="440" w:lineRule="exact"/>
        <w:ind w:firstLine="419" w:firstLineChars="174"/>
        <w:outlineLvl w:val="2"/>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2.实践教学环节安排</w:t>
      </w:r>
    </w:p>
    <w:tbl>
      <w:tblPr>
        <w:tblStyle w:val="2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775"/>
        <w:gridCol w:w="775"/>
        <w:gridCol w:w="3108"/>
        <w:gridCol w:w="980"/>
        <w:gridCol w:w="995"/>
        <w:gridCol w:w="95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1240" w:type="dxa"/>
            <w:vAlign w:val="center"/>
          </w:tcPr>
          <w:p>
            <w:pPr>
              <w:snapToGrid w:val="0"/>
              <w:jc w:val="center"/>
              <w:rPr>
                <w:rFonts w:ascii="宋体"/>
                <w:b/>
                <w:szCs w:val="21"/>
              </w:rPr>
            </w:pPr>
            <w:r>
              <w:rPr>
                <w:rFonts w:hint="eastAsia" w:ascii="宋体" w:hAnsi="宋体"/>
                <w:b/>
                <w:szCs w:val="21"/>
              </w:rPr>
              <w:t>课程名称</w:t>
            </w:r>
          </w:p>
        </w:tc>
        <w:tc>
          <w:tcPr>
            <w:tcW w:w="775" w:type="dxa"/>
            <w:vAlign w:val="center"/>
          </w:tcPr>
          <w:p>
            <w:pPr>
              <w:snapToGrid w:val="0"/>
              <w:jc w:val="center"/>
              <w:rPr>
                <w:rFonts w:ascii="宋体"/>
                <w:b/>
                <w:szCs w:val="21"/>
              </w:rPr>
            </w:pPr>
            <w:r>
              <w:rPr>
                <w:rFonts w:hint="eastAsia" w:ascii="宋体" w:hAnsi="宋体"/>
                <w:b/>
                <w:szCs w:val="21"/>
              </w:rPr>
              <w:t>课程性质</w:t>
            </w:r>
          </w:p>
        </w:tc>
        <w:tc>
          <w:tcPr>
            <w:tcW w:w="775" w:type="dxa"/>
            <w:vAlign w:val="center"/>
          </w:tcPr>
          <w:p>
            <w:pPr>
              <w:snapToGrid w:val="0"/>
              <w:jc w:val="center"/>
              <w:rPr>
                <w:rFonts w:ascii="宋体"/>
                <w:b/>
                <w:szCs w:val="21"/>
              </w:rPr>
            </w:pPr>
            <w:r>
              <w:rPr>
                <w:rFonts w:hint="eastAsia" w:ascii="宋体" w:hAnsi="宋体"/>
                <w:b/>
                <w:szCs w:val="21"/>
              </w:rPr>
              <w:t>周数</w:t>
            </w:r>
          </w:p>
        </w:tc>
        <w:tc>
          <w:tcPr>
            <w:tcW w:w="3108" w:type="dxa"/>
            <w:vAlign w:val="center"/>
          </w:tcPr>
          <w:p>
            <w:pPr>
              <w:snapToGrid w:val="0"/>
              <w:jc w:val="center"/>
              <w:rPr>
                <w:rFonts w:ascii="宋体"/>
                <w:b/>
                <w:szCs w:val="21"/>
              </w:rPr>
            </w:pPr>
            <w:r>
              <w:rPr>
                <w:rFonts w:hint="eastAsia" w:ascii="宋体" w:hAnsi="宋体"/>
                <w:b/>
                <w:szCs w:val="21"/>
              </w:rPr>
              <w:t>主要内容及要求</w:t>
            </w:r>
          </w:p>
        </w:tc>
        <w:tc>
          <w:tcPr>
            <w:tcW w:w="980" w:type="dxa"/>
            <w:vAlign w:val="center"/>
          </w:tcPr>
          <w:p>
            <w:pPr>
              <w:snapToGrid w:val="0"/>
              <w:jc w:val="center"/>
              <w:rPr>
                <w:rFonts w:ascii="宋体"/>
                <w:b/>
                <w:szCs w:val="21"/>
              </w:rPr>
            </w:pPr>
            <w:r>
              <w:rPr>
                <w:rFonts w:hint="eastAsia" w:ascii="宋体" w:hAnsi="宋体"/>
                <w:b/>
                <w:szCs w:val="21"/>
              </w:rPr>
              <w:t>实践</w:t>
            </w:r>
          </w:p>
          <w:p>
            <w:pPr>
              <w:snapToGrid w:val="0"/>
              <w:jc w:val="center"/>
              <w:rPr>
                <w:rFonts w:ascii="宋体"/>
                <w:b/>
                <w:szCs w:val="21"/>
              </w:rPr>
            </w:pPr>
            <w:r>
              <w:rPr>
                <w:rFonts w:hint="eastAsia" w:ascii="宋体" w:hAnsi="宋体"/>
                <w:b/>
                <w:szCs w:val="21"/>
              </w:rPr>
              <w:t>地点</w:t>
            </w:r>
          </w:p>
        </w:tc>
        <w:tc>
          <w:tcPr>
            <w:tcW w:w="995" w:type="dxa"/>
            <w:vAlign w:val="center"/>
          </w:tcPr>
          <w:p>
            <w:pPr>
              <w:snapToGrid w:val="0"/>
              <w:jc w:val="center"/>
              <w:rPr>
                <w:rFonts w:ascii="宋体"/>
                <w:b/>
                <w:szCs w:val="21"/>
              </w:rPr>
            </w:pPr>
            <w:r>
              <w:rPr>
                <w:rFonts w:hint="eastAsia" w:ascii="宋体" w:hAnsi="宋体"/>
                <w:b/>
                <w:szCs w:val="21"/>
              </w:rPr>
              <w:t>实践</w:t>
            </w:r>
          </w:p>
          <w:p>
            <w:pPr>
              <w:snapToGrid w:val="0"/>
              <w:jc w:val="center"/>
              <w:rPr>
                <w:rFonts w:ascii="宋体"/>
                <w:b/>
                <w:szCs w:val="21"/>
              </w:rPr>
            </w:pPr>
            <w:r>
              <w:rPr>
                <w:rFonts w:hint="eastAsia" w:ascii="宋体" w:hAnsi="宋体"/>
                <w:b/>
                <w:szCs w:val="21"/>
              </w:rPr>
              <w:t>成果</w:t>
            </w:r>
          </w:p>
        </w:tc>
        <w:tc>
          <w:tcPr>
            <w:tcW w:w="957" w:type="dxa"/>
            <w:vAlign w:val="center"/>
          </w:tcPr>
          <w:p>
            <w:pPr>
              <w:snapToGrid w:val="0"/>
              <w:jc w:val="center"/>
              <w:rPr>
                <w:rFonts w:ascii="宋体"/>
                <w:b/>
                <w:szCs w:val="21"/>
              </w:rPr>
            </w:pPr>
            <w:r>
              <w:rPr>
                <w:rFonts w:hint="eastAsia" w:ascii="宋体" w:hAnsi="宋体"/>
                <w:b/>
                <w:szCs w:val="21"/>
              </w:rPr>
              <w:t>学分</w:t>
            </w:r>
            <w:r>
              <w:rPr>
                <w:rFonts w:ascii="宋体" w:hAnsi="宋体"/>
                <w:b/>
                <w:szCs w:val="21"/>
              </w:rPr>
              <w:t>/</w:t>
            </w:r>
            <w:r>
              <w:rPr>
                <w:rFonts w:hint="eastAsia" w:ascii="宋体" w:hAnsi="宋体"/>
                <w:b/>
                <w:szCs w:val="21"/>
              </w:rPr>
              <w:t>学时</w:t>
            </w:r>
          </w:p>
        </w:tc>
        <w:tc>
          <w:tcPr>
            <w:tcW w:w="740" w:type="dxa"/>
            <w:vAlign w:val="center"/>
          </w:tcPr>
          <w:p>
            <w:pPr>
              <w:snapToGrid w:val="0"/>
              <w:jc w:val="center"/>
              <w:rPr>
                <w:rFonts w:ascii="宋体"/>
                <w:b/>
                <w:szCs w:val="21"/>
              </w:rPr>
            </w:pPr>
            <w:r>
              <w:rPr>
                <w:rFonts w:hint="eastAsia" w:ascii="宋体" w:hAnsi="宋体"/>
                <w:b/>
                <w:szCs w:val="21"/>
              </w:rPr>
              <w:t>开设时间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cs="宋体"/>
                <w:szCs w:val="21"/>
              </w:rPr>
            </w:pPr>
            <w:r>
              <w:rPr>
                <w:rFonts w:hint="eastAsia" w:ascii="宋体" w:hAnsi="宋体"/>
                <w:szCs w:val="21"/>
              </w:rPr>
              <w:t>金工实训</w:t>
            </w:r>
          </w:p>
        </w:tc>
        <w:tc>
          <w:tcPr>
            <w:tcW w:w="775" w:type="dxa"/>
            <w:vAlign w:val="center"/>
          </w:tcPr>
          <w:p>
            <w:pPr>
              <w:snapToGrid w:val="0"/>
              <w:rPr>
                <w:rFonts w:ascii="宋体"/>
                <w:szCs w:val="21"/>
              </w:rPr>
            </w:pPr>
            <w:r>
              <w:rPr>
                <w:rFonts w:hint="eastAsia" w:ascii="宋体" w:hAnsi="宋体"/>
                <w:szCs w:val="21"/>
              </w:rPr>
              <w:t>必修</w:t>
            </w:r>
          </w:p>
        </w:tc>
        <w:tc>
          <w:tcPr>
            <w:tcW w:w="775" w:type="dxa"/>
            <w:vAlign w:val="center"/>
          </w:tcPr>
          <w:p>
            <w:pPr>
              <w:snapToGrid w:val="0"/>
              <w:jc w:val="center"/>
              <w:rPr>
                <w:rFonts w:ascii="宋体"/>
                <w:szCs w:val="21"/>
              </w:rPr>
            </w:pPr>
            <w:r>
              <w:rPr>
                <w:rFonts w:ascii="宋体" w:hAnsi="宋体"/>
                <w:szCs w:val="21"/>
              </w:rPr>
              <w:t>1</w:t>
            </w:r>
          </w:p>
        </w:tc>
        <w:tc>
          <w:tcPr>
            <w:tcW w:w="3108" w:type="dxa"/>
            <w:vAlign w:val="center"/>
          </w:tcPr>
          <w:p>
            <w:pPr>
              <w:snapToGrid w:val="0"/>
              <w:rPr>
                <w:rFonts w:ascii="宋体"/>
                <w:szCs w:val="21"/>
              </w:rPr>
            </w:pPr>
            <w:r>
              <w:rPr>
                <w:rFonts w:hint="eastAsia" w:ascii="宋体" w:hAnsi="宋体"/>
                <w:szCs w:val="21"/>
              </w:rPr>
              <w:t>开展典型零件的普车加工操作和钳工基础训练，达到车工和钳工的初级能力要求。</w:t>
            </w:r>
          </w:p>
        </w:tc>
        <w:tc>
          <w:tcPr>
            <w:tcW w:w="980" w:type="dxa"/>
            <w:vAlign w:val="center"/>
          </w:tcPr>
          <w:p>
            <w:pPr>
              <w:snapToGrid w:val="0"/>
              <w:rPr>
                <w:rFonts w:ascii="宋体"/>
                <w:szCs w:val="21"/>
              </w:rPr>
            </w:pPr>
            <w:r>
              <w:rPr>
                <w:rFonts w:hint="eastAsia" w:ascii="宋体" w:hAnsi="宋体"/>
                <w:szCs w:val="21"/>
              </w:rPr>
              <w:t>校内实训基地</w:t>
            </w:r>
          </w:p>
        </w:tc>
        <w:tc>
          <w:tcPr>
            <w:tcW w:w="995" w:type="dxa"/>
            <w:vAlign w:val="center"/>
          </w:tcPr>
          <w:p>
            <w:pPr>
              <w:snapToGrid w:val="0"/>
              <w:jc w:val="center"/>
              <w:rPr>
                <w:rFonts w:ascii="宋体"/>
                <w:szCs w:val="21"/>
              </w:rPr>
            </w:pPr>
            <w:r>
              <w:rPr>
                <w:rFonts w:hint="eastAsia" w:ascii="宋体" w:hAnsi="宋体"/>
                <w:szCs w:val="21"/>
              </w:rPr>
              <w:t>实物作品、报告</w:t>
            </w:r>
          </w:p>
        </w:tc>
        <w:tc>
          <w:tcPr>
            <w:tcW w:w="957" w:type="dxa"/>
            <w:vAlign w:val="center"/>
          </w:tcPr>
          <w:p>
            <w:pPr>
              <w:snapToGrid w:val="0"/>
              <w:jc w:val="center"/>
              <w:rPr>
                <w:rFonts w:ascii="宋体"/>
                <w:szCs w:val="21"/>
              </w:rPr>
            </w:pPr>
            <w:r>
              <w:rPr>
                <w:rFonts w:ascii="宋体" w:hAnsi="宋体"/>
                <w:szCs w:val="21"/>
              </w:rPr>
              <w:t>1/</w:t>
            </w:r>
            <w:r>
              <w:rPr>
                <w:rFonts w:hint="eastAsia" w:ascii="宋体" w:hAnsi="宋体"/>
                <w:szCs w:val="21"/>
              </w:rPr>
              <w:t>25</w:t>
            </w:r>
          </w:p>
        </w:tc>
        <w:tc>
          <w:tcPr>
            <w:tcW w:w="740" w:type="dxa"/>
            <w:vAlign w:val="center"/>
          </w:tcPr>
          <w:p>
            <w:pPr>
              <w:snapToGrid w:val="0"/>
              <w:jc w:val="center"/>
              <w:rPr>
                <w:rFonts w:ascii="宋体" w:hAnsi="宋体"/>
                <w:szCs w:val="21"/>
              </w:rPr>
            </w:pPr>
            <w:r>
              <w:rPr>
                <w:rFonts w:hint="eastAsia" w:ascii="宋体" w:hAnsi="宋体"/>
                <w:szCs w:val="21"/>
              </w:rPr>
              <w:t>第</w:t>
            </w:r>
            <w:r>
              <w:rPr>
                <w:rFonts w:ascii="宋体" w:hAnsi="宋体"/>
                <w:szCs w:val="21"/>
              </w:rPr>
              <w:t>1</w:t>
            </w:r>
            <w:r>
              <w:rPr>
                <w:rFonts w:hint="eastAsia" w:ascii="宋体" w:hAnsi="宋体"/>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szCs w:val="21"/>
              </w:rPr>
            </w:pPr>
            <w:r>
              <w:rPr>
                <w:rFonts w:hint="eastAsia" w:ascii="宋体" w:hAnsi="宋体"/>
                <w:szCs w:val="21"/>
              </w:rPr>
              <w:t>职业素养与能力实训</w:t>
            </w:r>
          </w:p>
        </w:tc>
        <w:tc>
          <w:tcPr>
            <w:tcW w:w="775" w:type="dxa"/>
            <w:vAlign w:val="center"/>
          </w:tcPr>
          <w:p>
            <w:pPr>
              <w:snapToGrid w:val="0"/>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ascii="宋体" w:hAnsi="宋体"/>
                <w:szCs w:val="21"/>
              </w:rPr>
              <w:t>1</w:t>
            </w:r>
          </w:p>
        </w:tc>
        <w:tc>
          <w:tcPr>
            <w:tcW w:w="3108" w:type="dxa"/>
            <w:vAlign w:val="center"/>
          </w:tcPr>
          <w:p>
            <w:pPr>
              <w:snapToGrid w:val="0"/>
              <w:rPr>
                <w:rFonts w:ascii="宋体" w:hAnsi="宋体"/>
                <w:szCs w:val="21"/>
              </w:rPr>
            </w:pPr>
            <w:r>
              <w:rPr>
                <w:rFonts w:hint="eastAsia" w:ascii="宋体" w:hAnsi="宋体"/>
                <w:szCs w:val="21"/>
              </w:rPr>
              <w:t>开展</w:t>
            </w:r>
            <w:r>
              <w:rPr>
                <w:rFonts w:ascii="宋体" w:hAnsi="宋体"/>
                <w:szCs w:val="21"/>
              </w:rPr>
              <w:t>5S管理和目视化管理实训，使学生初步具备5S管理、精益生产的理念及应用能力</w:t>
            </w:r>
            <w:r>
              <w:rPr>
                <w:rFonts w:hint="eastAsia" w:ascii="宋体" w:hAnsi="宋体"/>
                <w:szCs w:val="21"/>
              </w:rPr>
              <w:t>。</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jc w:val="center"/>
            </w:pPr>
            <w:r>
              <w:rPr>
                <w:rFonts w:hint="eastAsia" w:ascii="宋体" w:hAnsi="宋体"/>
                <w:szCs w:val="21"/>
              </w:rPr>
              <w:t>考核</w:t>
            </w:r>
          </w:p>
        </w:tc>
        <w:tc>
          <w:tcPr>
            <w:tcW w:w="957" w:type="dxa"/>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740" w:type="dxa"/>
            <w:vAlign w:val="center"/>
          </w:tcPr>
          <w:p>
            <w:pPr>
              <w:snapToGrid w:val="0"/>
              <w:jc w:val="center"/>
              <w:rPr>
                <w:rFonts w:ascii="宋体" w:hAnsi="宋体"/>
                <w:szCs w:val="21"/>
              </w:rPr>
            </w:pPr>
            <w:r>
              <w:rPr>
                <w:rFonts w:hint="eastAsia" w:ascii="宋体" w:hAnsi="宋体"/>
                <w:szCs w:val="21"/>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szCs w:val="21"/>
              </w:rPr>
            </w:pPr>
            <w:r>
              <w:rPr>
                <w:rFonts w:hint="eastAsia" w:ascii="宋体" w:hAnsi="宋体"/>
                <w:szCs w:val="21"/>
              </w:rPr>
              <w:t>自动控制综合应用技术实训</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hint="eastAsia" w:ascii="宋体" w:hAnsi="宋体"/>
                <w:szCs w:val="21"/>
              </w:rPr>
              <w:t>1</w:t>
            </w:r>
          </w:p>
        </w:tc>
        <w:tc>
          <w:tcPr>
            <w:tcW w:w="3108" w:type="dxa"/>
            <w:vAlign w:val="center"/>
          </w:tcPr>
          <w:p>
            <w:pPr>
              <w:snapToGrid w:val="0"/>
              <w:rPr>
                <w:rFonts w:ascii="宋体" w:hAnsi="宋体"/>
                <w:szCs w:val="21"/>
              </w:rPr>
            </w:pPr>
            <w:r>
              <w:rPr>
                <w:rFonts w:hint="eastAsia" w:ascii="宋体" w:hAnsi="宋体"/>
                <w:szCs w:val="21"/>
              </w:rPr>
              <w:t>通过功能指令应用模块、模拟量指令应用模块、触摸屏技术应用模块、变频器技术应用模块的学习，掌握PLC技术、变频技术、触摸屏技术、传感器技术的综合应用能力，会识别相关电气设备、判定设备的性能，能进行控制系统的硬件接线安装，会分析排除电路中简单故障，具备控制系统的调试与维修能力，掌握构建控制系统的方法，有一定的系统软、硬件设计能力。</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jc w:val="center"/>
            </w:pPr>
            <w:r>
              <w:rPr>
                <w:rFonts w:hint="eastAsia" w:ascii="宋体" w:hAnsi="宋体"/>
                <w:szCs w:val="21"/>
              </w:rPr>
              <w:t>考核</w:t>
            </w:r>
          </w:p>
        </w:tc>
        <w:tc>
          <w:tcPr>
            <w:tcW w:w="957" w:type="dxa"/>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740" w:type="dxa"/>
            <w:vAlign w:val="center"/>
          </w:tcPr>
          <w:p>
            <w:pPr>
              <w:snapToGrid w:val="0"/>
              <w:jc w:val="center"/>
              <w:rPr>
                <w:rFonts w:ascii="宋体" w:hAnsi="宋体"/>
                <w:szCs w:val="21"/>
              </w:rPr>
            </w:pPr>
            <w:r>
              <w:rPr>
                <w:rFonts w:hint="eastAsia" w:ascii="宋体" w:hAnsi="宋体"/>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cs="宋体"/>
                <w:szCs w:val="21"/>
              </w:rPr>
            </w:pPr>
            <w:r>
              <w:rPr>
                <w:rFonts w:hint="eastAsia" w:ascii="宋体" w:hAnsi="宋体"/>
                <w:szCs w:val="21"/>
              </w:rPr>
              <w:t>维修电工实训（中级）</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ascii="宋体" w:hAnsi="宋体"/>
                <w:szCs w:val="21"/>
              </w:rPr>
              <w:t>2</w:t>
            </w:r>
          </w:p>
        </w:tc>
        <w:tc>
          <w:tcPr>
            <w:tcW w:w="3108" w:type="dxa"/>
            <w:vAlign w:val="center"/>
          </w:tcPr>
          <w:p>
            <w:pPr>
              <w:snapToGrid w:val="0"/>
              <w:rPr>
                <w:rFonts w:ascii="宋体" w:hAnsi="宋体"/>
                <w:szCs w:val="21"/>
              </w:rPr>
            </w:pPr>
            <w:r>
              <w:rPr>
                <w:rFonts w:hint="eastAsia" w:ascii="宋体" w:hAnsi="宋体"/>
                <w:szCs w:val="21"/>
              </w:rPr>
              <w:t>开展电工电子仪表使用、电子线路焊接调试、继电－接触控制线路安装调试、常见机床控制电路检修与排故等训练，能考取</w:t>
            </w:r>
            <w:r>
              <w:rPr>
                <w:rFonts w:ascii="宋体" w:hAnsi="宋体"/>
                <w:szCs w:val="21"/>
              </w:rPr>
              <w:t>维修电工</w:t>
            </w:r>
            <w:r>
              <w:rPr>
                <w:rFonts w:hint="eastAsia" w:ascii="宋体" w:hAnsi="宋体"/>
                <w:szCs w:val="21"/>
              </w:rPr>
              <w:t>中级证书。</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考核或电工中级证书</w:t>
            </w:r>
          </w:p>
        </w:tc>
        <w:tc>
          <w:tcPr>
            <w:tcW w:w="957" w:type="dxa"/>
            <w:vAlign w:val="center"/>
          </w:tcPr>
          <w:p>
            <w:pPr>
              <w:snapToGrid w:val="0"/>
              <w:jc w:val="center"/>
              <w:rPr>
                <w:rFonts w:ascii="宋体" w:hAnsi="宋体"/>
                <w:szCs w:val="21"/>
              </w:rPr>
            </w:pPr>
            <w:r>
              <w:rPr>
                <w:rFonts w:ascii="宋体" w:hAnsi="宋体"/>
                <w:szCs w:val="21"/>
              </w:rPr>
              <w:t>2/5</w:t>
            </w:r>
            <w:r>
              <w:rPr>
                <w:rFonts w:hint="eastAsia" w:ascii="宋体" w:hAnsi="宋体"/>
                <w:szCs w:val="21"/>
              </w:rPr>
              <w:t>0</w:t>
            </w:r>
          </w:p>
        </w:tc>
        <w:tc>
          <w:tcPr>
            <w:tcW w:w="740" w:type="dxa"/>
            <w:vAlign w:val="center"/>
          </w:tcPr>
          <w:p>
            <w:pPr>
              <w:snapToGrid w:val="0"/>
              <w:jc w:val="center"/>
              <w:rPr>
                <w:rFonts w:ascii="宋体" w:hAnsi="宋体"/>
                <w:szCs w:val="21"/>
              </w:rPr>
            </w:pPr>
            <w:r>
              <w:rPr>
                <w:rFonts w:hint="eastAsia" w:ascii="宋体" w:hAnsi="宋体"/>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szCs w:val="21"/>
              </w:rPr>
            </w:pPr>
            <w:r>
              <w:rPr>
                <w:rFonts w:hint="eastAsia" w:ascii="宋体" w:hAnsi="宋体"/>
                <w:szCs w:val="21"/>
              </w:rPr>
              <w:t>城市轨道交通信号设备维检修实训</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hint="eastAsia" w:ascii="宋体" w:hAnsi="宋体"/>
                <w:szCs w:val="21"/>
              </w:rPr>
              <w:t>1</w:t>
            </w:r>
          </w:p>
        </w:tc>
        <w:tc>
          <w:tcPr>
            <w:tcW w:w="3108" w:type="dxa"/>
            <w:vAlign w:val="center"/>
          </w:tcPr>
          <w:p>
            <w:pPr>
              <w:jc w:val="left"/>
              <w:rPr>
                <w:rFonts w:ascii="宋体" w:hAnsi="宋体"/>
                <w:kern w:val="0"/>
                <w:szCs w:val="21"/>
              </w:rPr>
            </w:pPr>
            <w:r>
              <w:rPr>
                <w:rFonts w:hint="eastAsia" w:ascii="宋体" w:hAnsi="宋体"/>
                <w:kern w:val="0"/>
                <w:szCs w:val="21"/>
              </w:rPr>
              <w:t>使学生对信号继电器、铁路信号、轨道电路、转辙机、防雷和接地装置、信号控制设备功能、原理等有一定认识了解，学习“联锁”、“闭塞”概念和原理，提高学生城市轨道交通信号设备维检修能力。</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jc w:val="center"/>
            </w:pPr>
            <w:r>
              <w:rPr>
                <w:rFonts w:hint="eastAsia" w:ascii="宋体" w:hAnsi="宋体"/>
                <w:szCs w:val="21"/>
              </w:rPr>
              <w:t>考核</w:t>
            </w:r>
          </w:p>
        </w:tc>
        <w:tc>
          <w:tcPr>
            <w:tcW w:w="957" w:type="dxa"/>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740" w:type="dxa"/>
            <w:vAlign w:val="center"/>
          </w:tcPr>
          <w:p>
            <w:pPr>
              <w:snapToGrid w:val="0"/>
              <w:jc w:val="center"/>
              <w:rPr>
                <w:rFonts w:ascii="宋体" w:hAnsi="宋体" w:cs="宋体"/>
                <w:szCs w:val="21"/>
              </w:rPr>
            </w:pPr>
            <w:r>
              <w:rPr>
                <w:rFonts w:hint="eastAsia" w:ascii="宋体" w:hAnsi="宋体"/>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cs="宋体"/>
                <w:szCs w:val="21"/>
              </w:rPr>
            </w:pPr>
            <w:r>
              <w:rPr>
                <w:rFonts w:hint="eastAsia" w:ascii="宋体" w:hAnsi="宋体" w:cs="宋体"/>
                <w:szCs w:val="21"/>
              </w:rPr>
              <w:t>低压电工作业实训</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ascii="宋体" w:hAnsi="宋体"/>
                <w:szCs w:val="21"/>
              </w:rPr>
              <w:t>1</w:t>
            </w:r>
          </w:p>
        </w:tc>
        <w:tc>
          <w:tcPr>
            <w:tcW w:w="3108" w:type="dxa"/>
            <w:vAlign w:val="center"/>
          </w:tcPr>
          <w:p>
            <w:pPr>
              <w:snapToGrid w:val="0"/>
              <w:rPr>
                <w:rFonts w:ascii="宋体" w:hAnsi="宋体"/>
                <w:szCs w:val="21"/>
              </w:rPr>
            </w:pPr>
            <w:r>
              <w:rPr>
                <w:rFonts w:hint="eastAsia" w:ascii="宋体" w:hAnsi="宋体"/>
                <w:kern w:val="0"/>
                <w:szCs w:val="21"/>
              </w:rPr>
              <w:t>学习相关电工安全操作以及相关理论知识，能考取低压电工作业上岗证书。</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考核或</w:t>
            </w:r>
            <w:r>
              <w:rPr>
                <w:rFonts w:hint="eastAsia"/>
              </w:rPr>
              <w:t>低压电工作业证</w:t>
            </w:r>
          </w:p>
        </w:tc>
        <w:tc>
          <w:tcPr>
            <w:tcW w:w="957" w:type="dxa"/>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740" w:type="dxa"/>
            <w:vAlign w:val="center"/>
          </w:tcPr>
          <w:p>
            <w:pPr>
              <w:snapToGrid w:val="0"/>
              <w:jc w:val="center"/>
              <w:rPr>
                <w:rFonts w:ascii="宋体" w:hAnsi="宋体"/>
                <w:szCs w:val="21"/>
              </w:rPr>
            </w:pPr>
            <w:r>
              <w:rPr>
                <w:rFonts w:hint="eastAsia" w:ascii="宋体" w:hAnsi="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szCs w:val="21"/>
              </w:rPr>
            </w:pPr>
            <w:r>
              <w:rPr>
                <w:rFonts w:hint="eastAsia" w:ascii="宋体" w:hAnsi="宋体"/>
                <w:szCs w:val="21"/>
              </w:rPr>
              <w:t>轨道交通电气设备装调实训(中级)</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hint="eastAsia" w:ascii="宋体" w:hAnsi="宋体"/>
                <w:szCs w:val="21"/>
              </w:rPr>
              <w:t>2</w:t>
            </w:r>
          </w:p>
        </w:tc>
        <w:tc>
          <w:tcPr>
            <w:tcW w:w="3108" w:type="dxa"/>
            <w:vAlign w:val="center"/>
          </w:tcPr>
          <w:p>
            <w:pPr>
              <w:jc w:val="left"/>
              <w:rPr>
                <w:rFonts w:ascii="宋体" w:hAnsi="宋体"/>
                <w:kern w:val="0"/>
                <w:szCs w:val="21"/>
              </w:rPr>
            </w:pPr>
            <w:r>
              <w:rPr>
                <w:rFonts w:hint="eastAsia" w:ascii="宋体" w:hAnsi="宋体"/>
                <w:kern w:val="0"/>
                <w:szCs w:val="21"/>
              </w:rPr>
              <w:t>掌握工具与仪表使用、安全用电；轨道交通简单电气控制电路的安装与调试；轨道交通中简单电子电路的装调。具备从事电气产品设计、安装、调试、维护与检修等工作。</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考核或轨道交通电气设备装调中级证书</w:t>
            </w:r>
          </w:p>
        </w:tc>
        <w:tc>
          <w:tcPr>
            <w:tcW w:w="957" w:type="dxa"/>
            <w:vAlign w:val="center"/>
          </w:tcPr>
          <w:p>
            <w:pPr>
              <w:snapToGrid w:val="0"/>
              <w:jc w:val="center"/>
              <w:rPr>
                <w:rFonts w:ascii="宋体" w:hAnsi="宋体"/>
                <w:szCs w:val="21"/>
              </w:rPr>
            </w:pPr>
            <w:r>
              <w:rPr>
                <w:rFonts w:ascii="宋体" w:hAnsi="宋体"/>
                <w:szCs w:val="21"/>
              </w:rPr>
              <w:t>2/5</w:t>
            </w:r>
            <w:r>
              <w:rPr>
                <w:rFonts w:hint="eastAsia" w:ascii="宋体" w:hAnsi="宋体"/>
                <w:szCs w:val="21"/>
              </w:rPr>
              <w:t>0</w:t>
            </w:r>
          </w:p>
        </w:tc>
        <w:tc>
          <w:tcPr>
            <w:tcW w:w="740" w:type="dxa"/>
            <w:vAlign w:val="center"/>
          </w:tcPr>
          <w:p>
            <w:pPr>
              <w:snapToGrid w:val="0"/>
              <w:jc w:val="center"/>
              <w:rPr>
                <w:rFonts w:ascii="宋体" w:hAnsi="宋体" w:cs="宋体"/>
                <w:szCs w:val="21"/>
              </w:rPr>
            </w:pPr>
            <w:r>
              <w:rPr>
                <w:rFonts w:hint="eastAsia" w:ascii="宋体" w:hAnsi="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0" w:type="dxa"/>
            <w:vAlign w:val="center"/>
          </w:tcPr>
          <w:p>
            <w:pPr>
              <w:jc w:val="center"/>
              <w:rPr>
                <w:rFonts w:ascii="宋体" w:hAnsi="宋体"/>
                <w:szCs w:val="21"/>
              </w:rPr>
            </w:pPr>
            <w:r>
              <w:rPr>
                <w:rFonts w:hint="eastAsia" w:ascii="宋体" w:hAnsi="宋体"/>
                <w:szCs w:val="21"/>
              </w:rPr>
              <w:t>城市轨道交通综合实训</w:t>
            </w:r>
          </w:p>
        </w:tc>
        <w:tc>
          <w:tcPr>
            <w:tcW w:w="775" w:type="dxa"/>
            <w:vAlign w:val="center"/>
          </w:tcPr>
          <w:p>
            <w:pPr>
              <w:rPr>
                <w:rFonts w:ascii="宋体" w:hAnsi="宋体"/>
                <w:szCs w:val="21"/>
              </w:rPr>
            </w:pPr>
            <w:r>
              <w:rPr>
                <w:rFonts w:hint="eastAsia" w:ascii="宋体" w:hAnsi="宋体"/>
                <w:szCs w:val="21"/>
              </w:rPr>
              <w:t>必修</w:t>
            </w:r>
          </w:p>
        </w:tc>
        <w:tc>
          <w:tcPr>
            <w:tcW w:w="775" w:type="dxa"/>
            <w:vAlign w:val="center"/>
          </w:tcPr>
          <w:p>
            <w:pPr>
              <w:snapToGrid w:val="0"/>
              <w:jc w:val="center"/>
              <w:rPr>
                <w:rFonts w:ascii="宋体" w:hAnsi="宋体"/>
                <w:szCs w:val="21"/>
              </w:rPr>
            </w:pPr>
            <w:r>
              <w:rPr>
                <w:rFonts w:hint="eastAsia" w:ascii="宋体" w:hAnsi="宋体"/>
                <w:szCs w:val="21"/>
              </w:rPr>
              <w:t>1</w:t>
            </w:r>
          </w:p>
        </w:tc>
        <w:tc>
          <w:tcPr>
            <w:tcW w:w="3108" w:type="dxa"/>
            <w:vAlign w:val="center"/>
          </w:tcPr>
          <w:p>
            <w:pPr>
              <w:snapToGrid w:val="0"/>
              <w:rPr>
                <w:rFonts w:ascii="宋体" w:hAnsi="宋体"/>
                <w:szCs w:val="21"/>
              </w:rPr>
            </w:pPr>
            <w:r>
              <w:rPr>
                <w:rFonts w:hint="eastAsia" w:ascii="宋体" w:hAnsi="宋体"/>
                <w:szCs w:val="21"/>
              </w:rPr>
              <w:t>通过学习车站控制室综合后备盘（IBP）及综合监控（ISCS）系统、自动售检票系统票务处理、屏蔽门系统、电梯系统、模拟驾驶、信号设备维检修及配套仿真软件系统的组合形式，提高实际动手能力、故障处理能力以及突发事件应对能力，增强城轨运营的安全意识，提高职业素养。</w:t>
            </w:r>
          </w:p>
        </w:tc>
        <w:tc>
          <w:tcPr>
            <w:tcW w:w="980" w:type="dxa"/>
            <w:vAlign w:val="center"/>
          </w:tcPr>
          <w:p>
            <w:pPr>
              <w:snapToGrid w:val="0"/>
              <w:rPr>
                <w:rFonts w:ascii="宋体" w:hAnsi="宋体"/>
                <w:szCs w:val="21"/>
              </w:rPr>
            </w:pPr>
            <w:r>
              <w:rPr>
                <w:rFonts w:hint="eastAsia" w:ascii="宋体" w:hAnsi="宋体"/>
                <w:szCs w:val="21"/>
              </w:rPr>
              <w:t>校内实训基地</w:t>
            </w:r>
          </w:p>
        </w:tc>
        <w:tc>
          <w:tcPr>
            <w:tcW w:w="995" w:type="dxa"/>
            <w:vAlign w:val="center"/>
          </w:tcPr>
          <w:p>
            <w:pPr>
              <w:snapToGrid w:val="0"/>
              <w:jc w:val="center"/>
              <w:rPr>
                <w:rFonts w:ascii="宋体" w:hAnsi="宋体"/>
                <w:szCs w:val="21"/>
              </w:rPr>
            </w:pPr>
            <w:r>
              <w:rPr>
                <w:rFonts w:hint="eastAsia" w:ascii="宋体" w:hAnsi="宋体"/>
                <w:szCs w:val="21"/>
              </w:rPr>
              <w:t>实践</w:t>
            </w:r>
          </w:p>
          <w:p>
            <w:pPr>
              <w:jc w:val="center"/>
            </w:pPr>
            <w:r>
              <w:rPr>
                <w:rFonts w:hint="eastAsia" w:ascii="宋体" w:hAnsi="宋体"/>
                <w:szCs w:val="21"/>
              </w:rPr>
              <w:t>考核</w:t>
            </w:r>
          </w:p>
        </w:tc>
        <w:tc>
          <w:tcPr>
            <w:tcW w:w="957" w:type="dxa"/>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740" w:type="dxa"/>
            <w:vAlign w:val="center"/>
          </w:tcPr>
          <w:p>
            <w:pPr>
              <w:snapToGrid w:val="0"/>
              <w:jc w:val="center"/>
              <w:rPr>
                <w:rFonts w:ascii="宋体" w:hAnsi="宋体" w:cs="宋体"/>
                <w:szCs w:val="21"/>
              </w:rPr>
            </w:pPr>
            <w:r>
              <w:rPr>
                <w:rFonts w:hint="eastAsia" w:ascii="宋体" w:hAnsi="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1240" w:type="dxa"/>
            <w:vAlign w:val="center"/>
          </w:tcPr>
          <w:p>
            <w:pPr>
              <w:snapToGrid w:val="0"/>
              <w:jc w:val="center"/>
              <w:rPr>
                <w:rFonts w:ascii="宋体" w:hAnsi="宋体" w:cs="宋体"/>
                <w:szCs w:val="21"/>
              </w:rPr>
            </w:pPr>
            <w:r>
              <w:rPr>
                <w:rFonts w:hint="eastAsia" w:ascii="宋体" w:hAnsi="宋体" w:cs="宋体"/>
                <w:szCs w:val="21"/>
              </w:rPr>
              <w:t>社会实践活动</w:t>
            </w:r>
          </w:p>
        </w:tc>
        <w:tc>
          <w:tcPr>
            <w:tcW w:w="775" w:type="dxa"/>
            <w:vAlign w:val="center"/>
          </w:tcPr>
          <w:p>
            <w:pPr>
              <w:snapToGrid w:val="0"/>
              <w:rPr>
                <w:rFonts w:ascii="宋体" w:hAnsi="宋体" w:cs="宋体"/>
                <w:szCs w:val="21"/>
              </w:rPr>
            </w:pPr>
            <w:r>
              <w:rPr>
                <w:rFonts w:hint="eastAsia" w:ascii="宋体" w:hAnsi="宋体" w:cs="宋体"/>
                <w:szCs w:val="21"/>
              </w:rPr>
              <w:t>限选</w:t>
            </w:r>
          </w:p>
        </w:tc>
        <w:tc>
          <w:tcPr>
            <w:tcW w:w="775" w:type="dxa"/>
            <w:vAlign w:val="center"/>
          </w:tcPr>
          <w:p>
            <w:pPr>
              <w:snapToGrid w:val="0"/>
              <w:jc w:val="center"/>
              <w:rPr>
                <w:rFonts w:ascii="宋体" w:hAnsi="宋体" w:cs="宋体"/>
                <w:szCs w:val="21"/>
              </w:rPr>
            </w:pPr>
            <w:r>
              <w:rPr>
                <w:rFonts w:hint="eastAsia" w:ascii="宋体" w:hAnsi="宋体" w:cs="宋体"/>
                <w:szCs w:val="21"/>
              </w:rPr>
              <w:t>2</w:t>
            </w:r>
          </w:p>
        </w:tc>
        <w:tc>
          <w:tcPr>
            <w:tcW w:w="3108" w:type="dxa"/>
            <w:vAlign w:val="center"/>
          </w:tcPr>
          <w:p>
            <w:pPr>
              <w:snapToGrid w:val="0"/>
              <w:rPr>
                <w:rFonts w:ascii="宋体" w:hAnsi="宋体" w:cs="宋体"/>
                <w:szCs w:val="21"/>
              </w:rPr>
            </w:pPr>
            <w:r>
              <w:rPr>
                <w:rFonts w:hint="eastAsia" w:ascii="宋体" w:hAnsi="宋体" w:cs="宋体"/>
                <w:szCs w:val="21"/>
              </w:rPr>
              <w:t>将理论知识、个人素养应用到社会实践活动中，通过该活动，能拓展视野，丰富自我，提高技能，了解社会，激发学生的创新精神，提高个人能力，有利于培养学生的组织协调能力，提高学生的综合素质，完善学生的个性品质。</w:t>
            </w:r>
          </w:p>
        </w:tc>
        <w:tc>
          <w:tcPr>
            <w:tcW w:w="980" w:type="dxa"/>
            <w:vAlign w:val="center"/>
          </w:tcPr>
          <w:p>
            <w:pPr>
              <w:snapToGrid w:val="0"/>
              <w:rPr>
                <w:rFonts w:ascii="宋体" w:hAnsi="宋体" w:cs="宋体"/>
                <w:szCs w:val="21"/>
              </w:rPr>
            </w:pPr>
            <w:r>
              <w:rPr>
                <w:rFonts w:hint="eastAsia" w:ascii="宋体" w:hAnsi="宋体" w:cs="宋体"/>
                <w:szCs w:val="21"/>
              </w:rPr>
              <w:t>校外</w:t>
            </w:r>
          </w:p>
        </w:tc>
        <w:tc>
          <w:tcPr>
            <w:tcW w:w="995" w:type="dxa"/>
            <w:vAlign w:val="center"/>
          </w:tcPr>
          <w:p>
            <w:pPr>
              <w:snapToGrid w:val="0"/>
              <w:rPr>
                <w:rFonts w:ascii="宋体" w:hAnsi="宋体" w:cs="宋体"/>
                <w:szCs w:val="21"/>
              </w:rPr>
            </w:pPr>
            <w:r>
              <w:rPr>
                <w:rFonts w:hint="eastAsia" w:ascii="宋体" w:hAnsi="宋体" w:cs="宋体"/>
                <w:szCs w:val="21"/>
              </w:rPr>
              <w:t>撰写实践</w:t>
            </w:r>
            <w:r>
              <w:rPr>
                <w:rFonts w:ascii="宋体" w:hAnsi="宋体" w:cs="宋体"/>
                <w:szCs w:val="21"/>
              </w:rPr>
              <w:t>/调研报告</w:t>
            </w:r>
          </w:p>
        </w:tc>
        <w:tc>
          <w:tcPr>
            <w:tcW w:w="957" w:type="dxa"/>
            <w:vAlign w:val="center"/>
          </w:tcPr>
          <w:p>
            <w:pPr>
              <w:snapToGrid w:val="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100</w:t>
            </w:r>
          </w:p>
        </w:tc>
        <w:tc>
          <w:tcPr>
            <w:tcW w:w="740" w:type="dxa"/>
            <w:vAlign w:val="center"/>
          </w:tcPr>
          <w:p>
            <w:pPr>
              <w:snapToGrid w:val="0"/>
              <w:rPr>
                <w:rFonts w:ascii="宋体" w:hAnsi="宋体" w:cs="宋体"/>
                <w:szCs w:val="21"/>
              </w:rPr>
            </w:pPr>
            <w:r>
              <w:rPr>
                <w:rFonts w:hint="eastAsia" w:ascii="宋体" w:hAnsi="宋体" w:cs="宋体"/>
                <w:szCs w:val="21"/>
              </w:rPr>
              <w:t>寒、暑假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240" w:type="dxa"/>
            <w:vAlign w:val="center"/>
          </w:tcPr>
          <w:p>
            <w:pPr>
              <w:jc w:val="center"/>
              <w:rPr>
                <w:rFonts w:ascii="宋体" w:cs="宋体"/>
                <w:szCs w:val="21"/>
              </w:rPr>
            </w:pPr>
            <w:r>
              <w:rPr>
                <w:rFonts w:hint="eastAsia" w:ascii="宋体" w:hAnsi="宋体" w:cs="宋体"/>
                <w:szCs w:val="21"/>
              </w:rPr>
              <w:t>职业体验实训</w:t>
            </w:r>
          </w:p>
        </w:tc>
        <w:tc>
          <w:tcPr>
            <w:tcW w:w="775" w:type="dxa"/>
            <w:vAlign w:val="center"/>
          </w:tcPr>
          <w:p>
            <w:pPr>
              <w:snapToGrid w:val="0"/>
              <w:rPr>
                <w:rFonts w:ascii="宋体"/>
                <w:szCs w:val="21"/>
              </w:rPr>
            </w:pPr>
            <w:r>
              <w:rPr>
                <w:rFonts w:hint="eastAsia" w:ascii="宋体" w:hAnsi="宋体" w:cs="宋体"/>
                <w:szCs w:val="21"/>
              </w:rPr>
              <w:t>限选</w:t>
            </w:r>
          </w:p>
        </w:tc>
        <w:tc>
          <w:tcPr>
            <w:tcW w:w="775" w:type="dxa"/>
            <w:vAlign w:val="center"/>
          </w:tcPr>
          <w:p>
            <w:pPr>
              <w:snapToGrid w:val="0"/>
              <w:jc w:val="center"/>
              <w:rPr>
                <w:rFonts w:ascii="宋体" w:hAnsi="宋体"/>
                <w:szCs w:val="21"/>
              </w:rPr>
            </w:pPr>
            <w:r>
              <w:rPr>
                <w:rFonts w:ascii="宋体" w:hAnsi="宋体"/>
                <w:szCs w:val="21"/>
              </w:rPr>
              <w:t>4</w:t>
            </w:r>
          </w:p>
        </w:tc>
        <w:tc>
          <w:tcPr>
            <w:tcW w:w="3108" w:type="dxa"/>
            <w:vAlign w:val="center"/>
          </w:tcPr>
          <w:p>
            <w:pPr>
              <w:snapToGrid w:val="0"/>
              <w:rPr>
                <w:rFonts w:ascii="宋体" w:hAnsi="宋体"/>
                <w:szCs w:val="21"/>
              </w:rPr>
            </w:pPr>
            <w:r>
              <w:rPr>
                <w:rFonts w:hint="eastAsia" w:ascii="宋体" w:hAnsi="宋体"/>
                <w:szCs w:val="21"/>
              </w:rPr>
              <w:t>职业氛围体验与职业发展规划，要求学生具备团队协作的能力，须完成至少一个课程模块（含</w:t>
            </w:r>
            <w:r>
              <w:rPr>
                <w:rFonts w:ascii="宋体" w:hAnsi="宋体"/>
                <w:szCs w:val="21"/>
              </w:rPr>
              <w:t>3-5门职业体验实训课程）的学习。</w:t>
            </w:r>
          </w:p>
        </w:tc>
        <w:tc>
          <w:tcPr>
            <w:tcW w:w="980" w:type="dxa"/>
            <w:vAlign w:val="center"/>
          </w:tcPr>
          <w:p>
            <w:pPr>
              <w:snapToGrid w:val="0"/>
              <w:rPr>
                <w:rFonts w:ascii="宋体" w:hAnsi="宋体"/>
                <w:szCs w:val="21"/>
              </w:rPr>
            </w:pPr>
            <w:r>
              <w:rPr>
                <w:rFonts w:hint="eastAsia" w:ascii="宋体" w:hAnsi="宋体"/>
                <w:spacing w:val="-20"/>
                <w:szCs w:val="21"/>
              </w:rPr>
              <w:t>职体中心</w:t>
            </w:r>
          </w:p>
        </w:tc>
        <w:tc>
          <w:tcPr>
            <w:tcW w:w="995" w:type="dxa"/>
            <w:vAlign w:val="center"/>
          </w:tcPr>
          <w:p>
            <w:pPr>
              <w:snapToGrid w:val="0"/>
              <w:jc w:val="center"/>
              <w:rPr>
                <w:rFonts w:ascii="宋体" w:hAnsi="宋体"/>
                <w:szCs w:val="21"/>
              </w:rPr>
            </w:pPr>
            <w:r>
              <w:rPr>
                <w:rFonts w:hint="eastAsia" w:ascii="宋体" w:hAnsi="宋体"/>
                <w:szCs w:val="21"/>
              </w:rPr>
              <w:t>大作业</w:t>
            </w:r>
          </w:p>
        </w:tc>
        <w:tc>
          <w:tcPr>
            <w:tcW w:w="957" w:type="dxa"/>
            <w:vAlign w:val="center"/>
          </w:tcPr>
          <w:p>
            <w:pPr>
              <w:snapToGrid w:val="0"/>
              <w:jc w:val="center"/>
              <w:rPr>
                <w:rFonts w:ascii="宋体" w:hAnsi="宋体"/>
                <w:szCs w:val="21"/>
              </w:rPr>
            </w:pPr>
            <w:r>
              <w:rPr>
                <w:rFonts w:ascii="宋体" w:hAnsi="宋体"/>
                <w:szCs w:val="21"/>
              </w:rPr>
              <w:t>4/1</w:t>
            </w:r>
            <w:r>
              <w:rPr>
                <w:rFonts w:hint="eastAsia" w:ascii="宋体" w:hAnsi="宋体"/>
                <w:szCs w:val="21"/>
              </w:rPr>
              <w:t>0</w:t>
            </w:r>
            <w:r>
              <w:rPr>
                <w:rFonts w:ascii="宋体" w:hAnsi="宋体"/>
                <w:szCs w:val="21"/>
              </w:rPr>
              <w:t>0</w:t>
            </w:r>
          </w:p>
        </w:tc>
        <w:tc>
          <w:tcPr>
            <w:tcW w:w="740" w:type="dxa"/>
            <w:vAlign w:val="center"/>
          </w:tcPr>
          <w:p>
            <w:pPr>
              <w:snapToGrid w:val="0"/>
              <w:jc w:val="center"/>
              <w:rPr>
                <w:rFonts w:ascii="宋体" w:hAnsi="宋体"/>
                <w:szCs w:val="21"/>
              </w:rPr>
            </w:pPr>
            <w:r>
              <w:rPr>
                <w:rFonts w:hint="eastAsia" w:ascii="宋体" w:hAnsi="宋体"/>
                <w:szCs w:val="21"/>
              </w:rPr>
              <w:t>第7-8学期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240" w:type="dxa"/>
            <w:vAlign w:val="center"/>
          </w:tcPr>
          <w:p>
            <w:pPr>
              <w:jc w:val="center"/>
              <w:rPr>
                <w:rFonts w:ascii="宋体" w:hAnsi="宋体" w:cs="宋体"/>
                <w:szCs w:val="21"/>
              </w:rPr>
            </w:pPr>
            <w:r>
              <w:rPr>
                <w:rFonts w:hint="eastAsia" w:ascii="宋体" w:hAnsi="宋体" w:cs="宋体"/>
                <w:szCs w:val="21"/>
              </w:rPr>
              <w:t>顶岗实习</w:t>
            </w:r>
          </w:p>
        </w:tc>
        <w:tc>
          <w:tcPr>
            <w:tcW w:w="775" w:type="dxa"/>
            <w:vAlign w:val="center"/>
          </w:tcPr>
          <w:p>
            <w:pPr>
              <w:rPr>
                <w:rFonts w:ascii="宋体" w:hAnsi="宋体" w:cs="宋体"/>
                <w:szCs w:val="21"/>
              </w:rPr>
            </w:pPr>
            <w:r>
              <w:rPr>
                <w:rFonts w:hint="eastAsia" w:ascii="宋体" w:hAnsi="宋体" w:cs="宋体"/>
                <w:szCs w:val="21"/>
              </w:rPr>
              <w:t>限选</w:t>
            </w:r>
          </w:p>
        </w:tc>
        <w:tc>
          <w:tcPr>
            <w:tcW w:w="775" w:type="dxa"/>
            <w:vAlign w:val="center"/>
          </w:tcPr>
          <w:p>
            <w:pPr>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3108" w:type="dxa"/>
            <w:vAlign w:val="center"/>
          </w:tcPr>
          <w:p>
            <w:pPr>
              <w:snapToGrid w:val="0"/>
              <w:rPr>
                <w:rFonts w:ascii="宋体" w:hAnsi="宋体" w:cs="宋体"/>
                <w:szCs w:val="21"/>
              </w:rPr>
            </w:pPr>
            <w:r>
              <w:rPr>
                <w:rFonts w:hint="eastAsia" w:ascii="宋体" w:hAnsi="宋体" w:cs="宋体"/>
                <w:szCs w:val="21"/>
              </w:rPr>
              <w:t>第一阶段学生参加与所学专业相匹配的专业顶岗实习。学校、实习单位、学生三方签订实习协议书，学生按要求到岗工作，撰写实习周记。第二阶段参加就业顶岗实习，要求完成实习报告。自主创业学生，须编制创业计划书，提交营业执照。</w:t>
            </w:r>
          </w:p>
        </w:tc>
        <w:tc>
          <w:tcPr>
            <w:tcW w:w="980" w:type="dxa"/>
            <w:vAlign w:val="center"/>
          </w:tcPr>
          <w:p>
            <w:pPr>
              <w:snapToGrid w:val="0"/>
              <w:rPr>
                <w:rFonts w:ascii="宋体" w:hAnsi="宋体" w:cs="宋体"/>
                <w:szCs w:val="21"/>
              </w:rPr>
            </w:pPr>
            <w:r>
              <w:rPr>
                <w:rFonts w:hint="eastAsia" w:ascii="宋体" w:hAnsi="宋体" w:cs="宋体"/>
                <w:szCs w:val="21"/>
              </w:rPr>
              <w:t>校外实训基地</w:t>
            </w:r>
          </w:p>
        </w:tc>
        <w:tc>
          <w:tcPr>
            <w:tcW w:w="995" w:type="dxa"/>
            <w:vAlign w:val="center"/>
          </w:tcPr>
          <w:p>
            <w:pPr>
              <w:snapToGrid w:val="0"/>
              <w:rPr>
                <w:rFonts w:ascii="宋体" w:hAnsi="宋体" w:cs="宋体"/>
                <w:szCs w:val="21"/>
              </w:rPr>
            </w:pPr>
            <w:r>
              <w:rPr>
                <w:rFonts w:hint="eastAsia" w:ascii="宋体" w:hAnsi="宋体" w:cs="宋体"/>
                <w:szCs w:val="21"/>
              </w:rPr>
              <w:t>实习报告</w:t>
            </w:r>
            <w:r>
              <w:rPr>
                <w:rFonts w:ascii="宋体" w:hAnsi="宋体" w:cs="宋体"/>
                <w:szCs w:val="21"/>
              </w:rPr>
              <w:t>+周记或创业计划书+营业执照</w:t>
            </w:r>
          </w:p>
        </w:tc>
        <w:tc>
          <w:tcPr>
            <w:tcW w:w="957" w:type="dxa"/>
            <w:vAlign w:val="center"/>
          </w:tcPr>
          <w:p>
            <w:pPr>
              <w:snapToGrid w:val="0"/>
              <w:jc w:val="center"/>
              <w:rPr>
                <w:rFonts w:ascii="宋体" w:hAnsi="宋体" w:cs="宋体"/>
                <w:szCs w:val="21"/>
              </w:rPr>
            </w:pPr>
            <w:r>
              <w:rPr>
                <w:rFonts w:ascii="宋体" w:hAnsi="宋体" w:cs="宋体"/>
                <w:szCs w:val="21"/>
              </w:rPr>
              <w:t>2</w:t>
            </w:r>
            <w:r>
              <w:rPr>
                <w:rFonts w:hint="eastAsia" w:ascii="宋体" w:hAnsi="宋体" w:cs="宋体"/>
                <w:szCs w:val="21"/>
              </w:rPr>
              <w:t>4</w:t>
            </w:r>
            <w:r>
              <w:rPr>
                <w:rFonts w:ascii="宋体" w:hAnsi="宋体" w:cs="宋体"/>
                <w:szCs w:val="21"/>
              </w:rPr>
              <w:t>/600</w:t>
            </w:r>
          </w:p>
        </w:tc>
        <w:tc>
          <w:tcPr>
            <w:tcW w:w="740" w:type="dxa"/>
            <w:vAlign w:val="center"/>
          </w:tcPr>
          <w:p>
            <w:pPr>
              <w:snapToGrid w:val="0"/>
              <w:jc w:val="center"/>
              <w:rPr>
                <w:rFonts w:ascii="宋体" w:hAnsi="宋体" w:cs="宋体"/>
                <w:szCs w:val="21"/>
              </w:rPr>
            </w:pPr>
            <w:r>
              <w:rPr>
                <w:rFonts w:hint="eastAsia" w:ascii="宋体" w:hAnsi="宋体"/>
                <w:szCs w:val="21"/>
              </w:rPr>
              <w:t>第</w:t>
            </w:r>
            <w:r>
              <w:rPr>
                <w:rFonts w:hint="eastAsia" w:ascii="宋体" w:hAnsi="宋体" w:cs="宋体"/>
                <w:szCs w:val="21"/>
              </w:rPr>
              <w:t>9</w:t>
            </w:r>
            <w:r>
              <w:rPr>
                <w:rFonts w:ascii="宋体" w:hAnsi="宋体" w:cs="宋体"/>
                <w:szCs w:val="21"/>
              </w:rPr>
              <w:t>,</w:t>
            </w:r>
            <w:r>
              <w:rPr>
                <w:rFonts w:hint="eastAsia" w:ascii="宋体" w:hAnsi="宋体" w:cs="宋体"/>
                <w:szCs w:val="21"/>
              </w:rPr>
              <w:t>10</w:t>
            </w:r>
            <w:r>
              <w:rPr>
                <w:rFonts w:hint="eastAsia" w:ascii="宋体" w:hAnsi="宋体"/>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240" w:type="dxa"/>
            <w:vAlign w:val="center"/>
          </w:tcPr>
          <w:p>
            <w:pPr>
              <w:jc w:val="center"/>
              <w:rPr>
                <w:rFonts w:ascii="宋体" w:cs="宋体"/>
                <w:szCs w:val="21"/>
              </w:rPr>
            </w:pPr>
            <w:r>
              <w:rPr>
                <w:rFonts w:hint="eastAsia" w:ascii="宋体" w:hAnsi="宋体" w:cs="宋体"/>
                <w:szCs w:val="21"/>
              </w:rPr>
              <w:t>毕业综合作业</w:t>
            </w:r>
          </w:p>
        </w:tc>
        <w:tc>
          <w:tcPr>
            <w:tcW w:w="775" w:type="dxa"/>
            <w:vAlign w:val="center"/>
          </w:tcPr>
          <w:p>
            <w:pPr>
              <w:snapToGrid w:val="0"/>
              <w:rPr>
                <w:rFonts w:ascii="宋体"/>
                <w:szCs w:val="21"/>
              </w:rPr>
            </w:pPr>
            <w:r>
              <w:rPr>
                <w:rFonts w:hint="eastAsia" w:ascii="宋体" w:hAnsi="宋体" w:cs="宋体"/>
                <w:szCs w:val="21"/>
              </w:rPr>
              <w:t>限选</w:t>
            </w:r>
          </w:p>
        </w:tc>
        <w:tc>
          <w:tcPr>
            <w:tcW w:w="775" w:type="dxa"/>
            <w:vAlign w:val="center"/>
          </w:tcPr>
          <w:p>
            <w:pPr>
              <w:snapToGrid w:val="0"/>
              <w:jc w:val="center"/>
              <w:rPr>
                <w:rFonts w:ascii="宋体" w:hAnsi="宋体"/>
                <w:szCs w:val="21"/>
              </w:rPr>
            </w:pPr>
            <w:r>
              <w:rPr>
                <w:rFonts w:ascii="宋体" w:hAnsi="宋体"/>
                <w:szCs w:val="21"/>
              </w:rPr>
              <w:t>10</w:t>
            </w:r>
          </w:p>
        </w:tc>
        <w:tc>
          <w:tcPr>
            <w:tcW w:w="3108" w:type="dxa"/>
            <w:vAlign w:val="center"/>
          </w:tcPr>
          <w:p>
            <w:pPr>
              <w:snapToGrid w:val="0"/>
              <w:jc w:val="center"/>
              <w:rPr>
                <w:rFonts w:ascii="宋体" w:hAnsi="宋体"/>
                <w:szCs w:val="21"/>
              </w:rPr>
            </w:pPr>
            <w:r>
              <w:rPr>
                <w:rFonts w:hint="eastAsia" w:ascii="Arial" w:hAnsi="Arial" w:cs="Arial"/>
                <w:szCs w:val="21"/>
              </w:rPr>
              <w:t>根据指导教师任务完成设计，要求学生完成开题报告、任务书和毕业设计（论文）。</w:t>
            </w:r>
          </w:p>
        </w:tc>
        <w:tc>
          <w:tcPr>
            <w:tcW w:w="980" w:type="dxa"/>
            <w:vAlign w:val="center"/>
          </w:tcPr>
          <w:p>
            <w:pPr>
              <w:snapToGrid w:val="0"/>
              <w:rPr>
                <w:rFonts w:ascii="宋体" w:hAnsi="宋体"/>
                <w:szCs w:val="21"/>
              </w:rPr>
            </w:pPr>
            <w:r>
              <w:rPr>
                <w:rFonts w:hint="eastAsia" w:ascii="宋体" w:hAnsi="宋体"/>
                <w:szCs w:val="21"/>
              </w:rPr>
              <w:t>校外实训基地</w:t>
            </w:r>
          </w:p>
        </w:tc>
        <w:tc>
          <w:tcPr>
            <w:tcW w:w="995" w:type="dxa"/>
            <w:vAlign w:val="center"/>
          </w:tcPr>
          <w:p>
            <w:pPr>
              <w:snapToGrid w:val="0"/>
              <w:rPr>
                <w:rFonts w:ascii="宋体" w:hAnsi="宋体"/>
                <w:szCs w:val="21"/>
              </w:rPr>
            </w:pPr>
            <w:r>
              <w:rPr>
                <w:rFonts w:hint="eastAsia" w:ascii="Arial" w:hAnsi="Arial" w:cs="Arial"/>
                <w:szCs w:val="21"/>
              </w:rPr>
              <w:t>毕业设计（论文）</w:t>
            </w:r>
          </w:p>
        </w:tc>
        <w:tc>
          <w:tcPr>
            <w:tcW w:w="957" w:type="dxa"/>
            <w:vAlign w:val="center"/>
          </w:tcPr>
          <w:p>
            <w:pPr>
              <w:snapToGrid w:val="0"/>
              <w:jc w:val="center"/>
              <w:rPr>
                <w:rFonts w:ascii="宋体" w:hAnsi="宋体"/>
                <w:szCs w:val="21"/>
              </w:rPr>
            </w:pPr>
            <w:r>
              <w:rPr>
                <w:rFonts w:ascii="宋体" w:hAnsi="宋体"/>
                <w:szCs w:val="21"/>
              </w:rPr>
              <w:t>10/</w:t>
            </w:r>
            <w:r>
              <w:rPr>
                <w:rFonts w:hint="eastAsia" w:ascii="宋体" w:hAnsi="宋体"/>
                <w:szCs w:val="21"/>
              </w:rPr>
              <w:t>25</w:t>
            </w:r>
            <w:r>
              <w:rPr>
                <w:rFonts w:ascii="宋体" w:hAnsi="宋体"/>
                <w:szCs w:val="21"/>
              </w:rPr>
              <w:t>0</w:t>
            </w:r>
          </w:p>
        </w:tc>
        <w:tc>
          <w:tcPr>
            <w:tcW w:w="740" w:type="dxa"/>
            <w:vAlign w:val="center"/>
          </w:tcPr>
          <w:p>
            <w:pPr>
              <w:snapToGrid w:val="0"/>
              <w:jc w:val="center"/>
              <w:rPr>
                <w:rFonts w:ascii="宋体" w:hAnsi="宋体"/>
                <w:szCs w:val="21"/>
              </w:rPr>
            </w:pPr>
            <w:r>
              <w:rPr>
                <w:rFonts w:hint="eastAsia" w:ascii="宋体" w:hAnsi="宋体"/>
                <w:szCs w:val="21"/>
              </w:rPr>
              <w:t>第</w:t>
            </w:r>
            <w:r>
              <w:rPr>
                <w:rFonts w:hint="eastAsia" w:ascii="宋体" w:hAnsi="宋体" w:cs="宋体"/>
                <w:szCs w:val="21"/>
              </w:rPr>
              <w:t>9</w:t>
            </w:r>
            <w:r>
              <w:rPr>
                <w:rFonts w:ascii="宋体" w:hAnsi="宋体" w:cs="宋体"/>
                <w:szCs w:val="21"/>
              </w:rPr>
              <w:t>,</w:t>
            </w:r>
            <w:r>
              <w:rPr>
                <w:rFonts w:hint="eastAsia" w:ascii="宋体" w:hAnsi="宋体" w:cs="宋体"/>
                <w:szCs w:val="21"/>
              </w:rPr>
              <w:t>10</w:t>
            </w:r>
            <w:r>
              <w:rPr>
                <w:rFonts w:hint="eastAsia" w:ascii="宋体" w:hAnsi="宋体"/>
                <w:szCs w:val="21"/>
              </w:rPr>
              <w:t>学期</w:t>
            </w:r>
          </w:p>
        </w:tc>
      </w:tr>
    </w:tbl>
    <w:p/>
    <w:p>
      <w:pPr>
        <w:keepNext/>
        <w:keepLines/>
        <w:snapToGrid w:val="0"/>
        <w:spacing w:before="156" w:beforeLines="50" w:after="156" w:afterLines="50" w:line="440" w:lineRule="exact"/>
        <w:outlineLvl w:val="1"/>
        <w:rPr>
          <w:rFonts w:ascii="宋体" w:hAnsi="宋体" w:cs="宋体"/>
          <w:b/>
          <w:bCs/>
          <w:kern w:val="44"/>
          <w:sz w:val="28"/>
          <w:szCs w:val="28"/>
        </w:rPr>
      </w:pPr>
      <w:bookmarkStart w:id="15" w:name="_Toc448835390"/>
      <w:bookmarkStart w:id="16" w:name="_Toc288748876"/>
      <w:bookmarkStart w:id="17" w:name="_Toc391645957"/>
      <w:r>
        <w:rPr>
          <w:rFonts w:hint="eastAsia" w:ascii="宋体" w:hAnsi="宋体" w:cs="宋体"/>
          <w:b/>
          <w:bCs/>
          <w:kern w:val="44"/>
          <w:sz w:val="28"/>
          <w:szCs w:val="28"/>
        </w:rPr>
        <w:t>七、教学进程安排</w:t>
      </w:r>
    </w:p>
    <w:p>
      <w:pPr>
        <w:snapToGrid w:val="0"/>
        <w:spacing w:line="440" w:lineRule="exact"/>
        <w:ind w:firstLine="480" w:firstLineChars="200"/>
        <w:rPr>
          <w:rFonts w:ascii="宋体" w:hAnsi="宋体"/>
          <w:bCs/>
          <w:sz w:val="24"/>
        </w:rPr>
      </w:pPr>
      <w:r>
        <w:rPr>
          <w:rFonts w:hint="eastAsia" w:ascii="宋体" w:hAnsi="宋体"/>
          <w:bCs/>
          <w:sz w:val="24"/>
        </w:rPr>
        <w:t>见附表</w:t>
      </w:r>
    </w:p>
    <w:p>
      <w:pPr>
        <w:keepNext/>
        <w:keepLines/>
        <w:snapToGrid w:val="0"/>
        <w:spacing w:before="156" w:beforeLines="50" w:after="156" w:afterLines="50" w:line="440" w:lineRule="exact"/>
        <w:outlineLvl w:val="1"/>
        <w:rPr>
          <w:rFonts w:ascii="宋体" w:hAnsi="宋体" w:cs="宋体"/>
          <w:b/>
          <w:bCs/>
          <w:kern w:val="44"/>
          <w:sz w:val="28"/>
          <w:szCs w:val="28"/>
        </w:rPr>
      </w:pPr>
      <w:r>
        <w:rPr>
          <w:rFonts w:hint="eastAsia" w:ascii="宋体" w:hAnsi="宋体" w:cs="宋体"/>
          <w:b/>
          <w:bCs/>
          <w:kern w:val="44"/>
          <w:sz w:val="28"/>
          <w:szCs w:val="28"/>
        </w:rPr>
        <w:t>八、实施保障</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（一）师资队伍</w:t>
      </w:r>
    </w:p>
    <w:p>
      <w:pPr>
        <w:snapToGrid w:val="0"/>
        <w:spacing w:line="440" w:lineRule="exact"/>
        <w:ind w:firstLine="482" w:firstLineChars="200"/>
        <w:rPr>
          <w:rFonts w:ascii="宋体" w:hAnsi="宋体"/>
          <w:b/>
          <w:bCs/>
          <w:sz w:val="24"/>
        </w:rPr>
      </w:pPr>
      <w:r>
        <w:rPr>
          <w:rFonts w:ascii="宋体" w:hAnsi="宋体"/>
          <w:b/>
          <w:bCs/>
          <w:sz w:val="24"/>
        </w:rPr>
        <w:t>1.队伍结构</w:t>
      </w:r>
    </w:p>
    <w:p>
      <w:pPr>
        <w:snapToGrid w:val="0"/>
        <w:spacing w:line="440" w:lineRule="exact"/>
        <w:ind w:firstLine="480" w:firstLineChars="200"/>
        <w:rPr>
          <w:rFonts w:ascii="宋体" w:hAnsi="宋体"/>
          <w:bCs/>
          <w:sz w:val="24"/>
        </w:rPr>
      </w:pPr>
      <w:r>
        <w:rPr>
          <w:rFonts w:hint="eastAsia" w:ascii="宋体" w:hAnsi="宋体"/>
          <w:bCs/>
          <w:sz w:val="24"/>
        </w:rPr>
        <w:t>学生数与本专业专任教师数比例不高于</w:t>
      </w:r>
      <w:r>
        <w:rPr>
          <w:rFonts w:ascii="宋体" w:hAnsi="宋体"/>
          <w:bCs/>
          <w:sz w:val="24"/>
        </w:rPr>
        <w:t>25</w:t>
      </w:r>
      <w:r>
        <w:rPr>
          <w:rFonts w:hint="eastAsia" w:ascii="宋体" w:hAnsi="宋体"/>
          <w:bCs/>
          <w:sz w:val="24"/>
        </w:rPr>
        <w:t>：</w:t>
      </w:r>
      <w:r>
        <w:rPr>
          <w:rFonts w:ascii="宋体" w:hAnsi="宋体"/>
          <w:bCs/>
          <w:sz w:val="24"/>
        </w:rPr>
        <w:t>1</w:t>
      </w:r>
      <w:r>
        <w:rPr>
          <w:rFonts w:hint="eastAsia" w:ascii="宋体" w:hAnsi="宋体"/>
          <w:bCs/>
          <w:sz w:val="24"/>
        </w:rPr>
        <w:t>，双师素质教师占专业教师比例不低于</w:t>
      </w:r>
      <w:r>
        <w:rPr>
          <w:rFonts w:ascii="宋体" w:hAnsi="宋体"/>
          <w:bCs/>
          <w:sz w:val="24"/>
        </w:rPr>
        <w:t>60%</w:t>
      </w:r>
      <w:r>
        <w:rPr>
          <w:rFonts w:hint="eastAsia" w:ascii="宋体" w:hAnsi="宋体"/>
          <w:bCs/>
          <w:sz w:val="24"/>
        </w:rPr>
        <w:t>，专任教师队伍要考虑职称、年龄，形成合理的梯队结构。</w:t>
      </w:r>
    </w:p>
    <w:p>
      <w:pPr>
        <w:snapToGrid w:val="0"/>
        <w:spacing w:line="440" w:lineRule="exact"/>
        <w:ind w:firstLine="482" w:firstLineChars="200"/>
        <w:rPr>
          <w:rFonts w:ascii="宋体" w:hAnsi="宋体"/>
          <w:b/>
          <w:bCs/>
          <w:sz w:val="24"/>
        </w:rPr>
      </w:pPr>
      <w:r>
        <w:rPr>
          <w:rFonts w:ascii="宋体" w:hAnsi="宋体"/>
          <w:b/>
          <w:bCs/>
          <w:sz w:val="24"/>
        </w:rPr>
        <w:t>2.专任教师要求</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）具备交通类专业大学本科以上学历，通过培训获得教师资格证书，具备教学能</w:t>
      </w:r>
    </w:p>
    <w:p>
      <w:pPr>
        <w:spacing w:line="440" w:lineRule="exact"/>
        <w:ind w:firstLine="420"/>
        <w:rPr>
          <w:rFonts w:ascii="宋体" w:hAnsi="宋体"/>
          <w:bCs/>
          <w:sz w:val="24"/>
        </w:rPr>
      </w:pPr>
      <w:r>
        <w:rPr>
          <w:rFonts w:hint="eastAsia" w:ascii="宋体" w:hAnsi="宋体"/>
          <w:bCs/>
          <w:sz w:val="24"/>
        </w:rPr>
        <w:t>力；</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w:t>
      </w:r>
      <w:r>
        <w:rPr>
          <w:rFonts w:ascii="宋体" w:hAnsi="宋体"/>
          <w:bCs/>
          <w:sz w:val="24"/>
        </w:rPr>
        <w:t>具有扎实的</w:t>
      </w:r>
      <w:r>
        <w:rPr>
          <w:rFonts w:hint="eastAsia" w:ascii="宋体" w:hAnsi="宋体"/>
          <w:bCs/>
          <w:sz w:val="24"/>
        </w:rPr>
        <w:t>城轨机电技术</w:t>
      </w:r>
      <w:r>
        <w:rPr>
          <w:rFonts w:ascii="宋体" w:hAnsi="宋体"/>
          <w:bCs/>
          <w:sz w:val="24"/>
        </w:rPr>
        <w:t>专业基础和实践能力，具备</w:t>
      </w:r>
      <w:r>
        <w:rPr>
          <w:rFonts w:hint="eastAsia" w:ascii="宋体" w:hAnsi="宋体"/>
          <w:bCs/>
          <w:sz w:val="24"/>
        </w:rPr>
        <w:t>城轨机电技术</w:t>
      </w:r>
      <w:r>
        <w:rPr>
          <w:rFonts w:ascii="宋体" w:hAnsi="宋体"/>
          <w:bCs/>
          <w:sz w:val="24"/>
        </w:rPr>
        <w:t>专业领域的独立研究和技术开发能力；</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3）能够调配、规划实验实训设备，完善符合现代教学方式的教学场所；</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4）具有指导学生参加</w:t>
      </w:r>
      <w:r>
        <w:rPr>
          <w:rFonts w:hint="eastAsia" w:ascii="宋体" w:hAnsi="宋体"/>
          <w:bCs/>
          <w:sz w:val="24"/>
        </w:rPr>
        <w:t>机械设计、机械工程训练、现代电气控制系统安装与调试、自动化生产线安装与调试等</w:t>
      </w:r>
      <w:r>
        <w:rPr>
          <w:rFonts w:ascii="宋体" w:hAnsi="宋体"/>
          <w:bCs/>
          <w:sz w:val="24"/>
        </w:rPr>
        <w:t>专业领域的创新和技能大赛的能力</w:t>
      </w:r>
      <w:r>
        <w:rPr>
          <w:rFonts w:hint="eastAsia" w:ascii="宋体" w:hAnsi="宋体"/>
          <w:bCs/>
          <w:sz w:val="24"/>
        </w:rPr>
        <w:t>；</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5）能独立承担1-2门</w:t>
      </w:r>
      <w:r>
        <w:rPr>
          <w:rFonts w:hint="eastAsia" w:ascii="宋体" w:hAnsi="宋体"/>
          <w:bCs/>
          <w:sz w:val="24"/>
        </w:rPr>
        <w:t>机电设备检修</w:t>
      </w:r>
      <w:r>
        <w:rPr>
          <w:rFonts w:ascii="宋体" w:hAnsi="宋体"/>
          <w:bCs/>
          <w:sz w:val="24"/>
        </w:rPr>
        <w:t>实训课程，独立指导学生完成课程设计</w:t>
      </w:r>
      <w:r>
        <w:rPr>
          <w:rFonts w:hint="eastAsia" w:ascii="宋体" w:hAnsi="宋体"/>
          <w:bCs/>
          <w:sz w:val="24"/>
        </w:rPr>
        <w:t>；</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6）能够指导高职学生完成高质量的企业实习和项目设计；</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7）能够为</w:t>
      </w:r>
      <w:r>
        <w:rPr>
          <w:rFonts w:hint="eastAsia" w:ascii="宋体" w:hAnsi="宋体"/>
          <w:bCs/>
          <w:sz w:val="24"/>
        </w:rPr>
        <w:t>轨道</w:t>
      </w:r>
      <w:r>
        <w:rPr>
          <w:rFonts w:ascii="宋体" w:hAnsi="宋体"/>
          <w:bCs/>
          <w:sz w:val="24"/>
        </w:rPr>
        <w:t>企业工程技术人员开设专业技术短训班；</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8）能够胜任校企合作工作，为企业提供技术服务，解决</w:t>
      </w:r>
      <w:r>
        <w:rPr>
          <w:rFonts w:hint="eastAsia" w:ascii="宋体" w:hAnsi="宋体"/>
          <w:bCs/>
          <w:sz w:val="24"/>
        </w:rPr>
        <w:t>轨道</w:t>
      </w:r>
      <w:r>
        <w:rPr>
          <w:rFonts w:ascii="宋体" w:hAnsi="宋体"/>
          <w:bCs/>
          <w:sz w:val="24"/>
        </w:rPr>
        <w:t>企业的实际问题；</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9）专任骨干教师要定期深入</w:t>
      </w:r>
      <w:r>
        <w:rPr>
          <w:rFonts w:hint="eastAsia" w:ascii="宋体" w:hAnsi="宋体"/>
          <w:bCs/>
          <w:sz w:val="24"/>
        </w:rPr>
        <w:t>轨道</w:t>
      </w:r>
      <w:r>
        <w:rPr>
          <w:rFonts w:ascii="宋体" w:hAnsi="宋体"/>
          <w:bCs/>
          <w:sz w:val="24"/>
        </w:rPr>
        <w:t>企业生产一线进行实践锻炼，</w:t>
      </w:r>
      <w:r>
        <w:rPr>
          <w:rFonts w:hint="eastAsia" w:ascii="宋体" w:hAnsi="宋体"/>
          <w:bCs/>
          <w:sz w:val="24"/>
        </w:rPr>
        <w:t>具有较高的双师比例；</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10）专任骨干教师应接受过职业教育教学方法论的培训，具有开发专业课程的能力，能够指导新教师完成上岗实习工作</w:t>
      </w:r>
      <w:r>
        <w:rPr>
          <w:rFonts w:hint="eastAsia" w:ascii="宋体" w:hAnsi="宋体"/>
          <w:bCs/>
          <w:sz w:val="24"/>
        </w:rPr>
        <w:t>；</w:t>
      </w:r>
    </w:p>
    <w:p>
      <w:pPr>
        <w:spacing w:line="440" w:lineRule="exact"/>
        <w:ind w:firstLine="420"/>
        <w:rPr>
          <w:rFonts w:ascii="楷体_GB2312" w:hAnsi="宋体" w:eastAsia="楷体_GB2312"/>
          <w:bCs/>
          <w:i/>
          <w:sz w:val="24"/>
        </w:rPr>
      </w:pPr>
      <w:r>
        <w:rPr>
          <w:rFonts w:hint="eastAsia" w:ascii="宋体" w:hAnsi="宋体"/>
          <w:bCs/>
          <w:sz w:val="24"/>
        </w:rPr>
        <w:t>（</w:t>
      </w:r>
      <w:r>
        <w:rPr>
          <w:rFonts w:ascii="宋体" w:hAnsi="宋体"/>
          <w:bCs/>
          <w:sz w:val="24"/>
        </w:rPr>
        <w:t>11）了解城市</w:t>
      </w:r>
      <w:r>
        <w:rPr>
          <w:rFonts w:hint="eastAsia" w:ascii="宋体" w:hAnsi="宋体"/>
          <w:bCs/>
          <w:sz w:val="24"/>
        </w:rPr>
        <w:t>地铁站</w:t>
      </w:r>
      <w:r>
        <w:rPr>
          <w:rFonts w:ascii="宋体" w:hAnsi="宋体"/>
          <w:bCs/>
          <w:sz w:val="24"/>
        </w:rPr>
        <w:t>使用的机电</w:t>
      </w:r>
      <w:r>
        <w:rPr>
          <w:rFonts w:hint="eastAsia" w:ascii="宋体" w:hAnsi="宋体"/>
          <w:bCs/>
          <w:sz w:val="24"/>
        </w:rPr>
        <w:t>类</w:t>
      </w:r>
      <w:r>
        <w:rPr>
          <w:rFonts w:ascii="宋体" w:hAnsi="宋体"/>
          <w:bCs/>
          <w:sz w:val="24"/>
        </w:rPr>
        <w:t>设备</w:t>
      </w:r>
      <w:r>
        <w:rPr>
          <w:rFonts w:hint="eastAsia" w:ascii="宋体" w:hAnsi="宋体"/>
          <w:bCs/>
          <w:sz w:val="24"/>
        </w:rPr>
        <w:t>，</w:t>
      </w:r>
      <w:r>
        <w:rPr>
          <w:rFonts w:ascii="宋体" w:hAnsi="宋体"/>
          <w:bCs/>
          <w:sz w:val="24"/>
        </w:rPr>
        <w:t>并</w:t>
      </w:r>
      <w:r>
        <w:rPr>
          <w:rFonts w:hint="eastAsia" w:ascii="宋体" w:hAnsi="宋体"/>
          <w:bCs/>
          <w:sz w:val="24"/>
        </w:rPr>
        <w:t>有相关顶岗实践</w:t>
      </w:r>
      <w:r>
        <w:rPr>
          <w:rFonts w:ascii="宋体" w:hAnsi="宋体"/>
          <w:bCs/>
          <w:sz w:val="24"/>
        </w:rPr>
        <w:t>经验。</w:t>
      </w:r>
    </w:p>
    <w:p>
      <w:pPr>
        <w:snapToGrid w:val="0"/>
        <w:spacing w:line="440" w:lineRule="exact"/>
        <w:ind w:firstLine="482" w:firstLineChars="200"/>
        <w:rPr>
          <w:rFonts w:ascii="宋体" w:hAnsi="宋体"/>
          <w:b/>
          <w:bCs/>
          <w:sz w:val="24"/>
        </w:rPr>
      </w:pPr>
      <w:r>
        <w:rPr>
          <w:rFonts w:ascii="宋体" w:hAnsi="宋体"/>
          <w:b/>
          <w:bCs/>
          <w:sz w:val="24"/>
        </w:rPr>
        <w:t>3.兼职教师要求</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w:t>
      </w:r>
      <w:r>
        <w:rPr>
          <w:rFonts w:ascii="宋体" w:hAnsi="宋体"/>
          <w:bCs/>
          <w:sz w:val="24"/>
        </w:rPr>
        <w:t>在行业内有一定威望和知名度，为企业的发展作出较大的贡献；</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w:t>
      </w:r>
      <w:r>
        <w:rPr>
          <w:rFonts w:ascii="宋体" w:hAnsi="宋体"/>
          <w:bCs/>
          <w:sz w:val="24"/>
        </w:rPr>
        <w:t>具有较长时间的</w:t>
      </w:r>
      <w:r>
        <w:rPr>
          <w:rFonts w:hint="eastAsia" w:ascii="宋体" w:hAnsi="宋体"/>
          <w:bCs/>
          <w:sz w:val="24"/>
        </w:rPr>
        <w:t>轨道</w:t>
      </w:r>
      <w:r>
        <w:rPr>
          <w:rFonts w:ascii="宋体" w:hAnsi="宋体"/>
          <w:bCs/>
          <w:sz w:val="24"/>
        </w:rPr>
        <w:t>企业专职技术工作经历，有较强的实践能力</w:t>
      </w:r>
      <w:r>
        <w:rPr>
          <w:rFonts w:hint="eastAsia" w:ascii="宋体" w:hAnsi="宋体"/>
          <w:bCs/>
          <w:sz w:val="24"/>
        </w:rPr>
        <w:t>，具有技师或工程师以上资格</w:t>
      </w:r>
      <w:r>
        <w:rPr>
          <w:rFonts w:ascii="宋体" w:hAnsi="宋体"/>
          <w:bCs/>
          <w:sz w:val="24"/>
        </w:rPr>
        <w:t>；</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3</w:t>
      </w:r>
      <w:r>
        <w:rPr>
          <w:rFonts w:hint="eastAsia" w:ascii="宋体" w:hAnsi="宋体"/>
          <w:bCs/>
          <w:sz w:val="24"/>
        </w:rPr>
        <w:t>）</w:t>
      </w:r>
      <w:r>
        <w:rPr>
          <w:rFonts w:ascii="宋体" w:hAnsi="宋体"/>
          <w:bCs/>
          <w:sz w:val="24"/>
        </w:rPr>
        <w:t>专业基础扎实，具有良好语言表达能力，能胜任专业课程的教学或实训指导工作；</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w:t>
      </w:r>
      <w:r>
        <w:rPr>
          <w:rFonts w:ascii="宋体" w:hAnsi="宋体"/>
          <w:bCs/>
          <w:sz w:val="24"/>
        </w:rPr>
        <w:t>热心教育事业，责任心强，善于沟通</w:t>
      </w:r>
      <w:r>
        <w:rPr>
          <w:rFonts w:hint="eastAsia" w:ascii="宋体" w:hAnsi="宋体"/>
          <w:bCs/>
          <w:sz w:val="24"/>
        </w:rPr>
        <w:t>；</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5）以城轨交通</w:t>
      </w:r>
      <w:r>
        <w:rPr>
          <w:rFonts w:hint="eastAsia" w:ascii="宋体" w:hAnsi="宋体"/>
          <w:bCs/>
          <w:sz w:val="24"/>
        </w:rPr>
        <w:t>机电类设备为</w:t>
      </w:r>
      <w:r>
        <w:rPr>
          <w:rFonts w:ascii="宋体" w:hAnsi="宋体"/>
          <w:bCs/>
          <w:sz w:val="24"/>
        </w:rPr>
        <w:t>主要研究方向</w:t>
      </w:r>
      <w:r>
        <w:rPr>
          <w:rFonts w:hint="eastAsia" w:ascii="宋体" w:hAnsi="宋体"/>
          <w:bCs/>
          <w:sz w:val="24"/>
        </w:rPr>
        <w:t>。</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（二）教学设施</w:t>
      </w:r>
    </w:p>
    <w:p>
      <w:pPr>
        <w:snapToGrid w:val="0"/>
        <w:spacing w:line="440" w:lineRule="exact"/>
        <w:ind w:firstLine="482" w:firstLineChars="200"/>
        <w:rPr>
          <w:rFonts w:ascii="宋体" w:hAnsi="宋体" w:cs="宋体"/>
          <w:b/>
          <w:bCs/>
          <w:sz w:val="24"/>
          <w:szCs w:val="22"/>
        </w:rPr>
      </w:pPr>
      <w:r>
        <w:rPr>
          <w:rFonts w:ascii="宋体" w:hAnsi="宋体" w:cs="宋体"/>
          <w:b/>
          <w:bCs/>
          <w:sz w:val="24"/>
          <w:szCs w:val="22"/>
        </w:rPr>
        <w:t>1.专业教室基本条件</w:t>
      </w:r>
    </w:p>
    <w:p>
      <w:pPr>
        <w:snapToGrid w:val="0"/>
        <w:spacing w:line="440" w:lineRule="exact"/>
        <w:ind w:firstLine="480" w:firstLineChars="200"/>
        <w:rPr>
          <w:rFonts w:ascii="宋体" w:hAnsi="宋体"/>
          <w:bCs/>
          <w:sz w:val="24"/>
        </w:rPr>
      </w:pPr>
      <w:r>
        <w:rPr>
          <w:rFonts w:hint="eastAsia" w:ascii="宋体" w:hAnsi="宋体"/>
          <w:bCs/>
          <w:sz w:val="24"/>
        </w:rPr>
        <w:t>本专业教学设施包括满足正常的课程教学、实习实训所需的专业教室、校内实训室和校外实训基地，基本满足55人一个班规模的日常教学。</w:t>
      </w:r>
    </w:p>
    <w:p>
      <w:pPr>
        <w:snapToGrid w:val="0"/>
        <w:spacing w:line="440" w:lineRule="exact"/>
        <w:ind w:firstLine="542" w:firstLineChars="225"/>
        <w:rPr>
          <w:rFonts w:ascii="宋体" w:hAnsi="宋体"/>
          <w:b/>
          <w:bCs/>
          <w:sz w:val="24"/>
        </w:rPr>
      </w:pPr>
      <w:r>
        <w:rPr>
          <w:rFonts w:hint="eastAsia" w:ascii="宋体" w:hAnsi="宋体"/>
          <w:b/>
          <w:bCs/>
          <w:sz w:val="24"/>
        </w:rPr>
        <w:t>2</w:t>
      </w:r>
      <w:r>
        <w:rPr>
          <w:rFonts w:ascii="宋体" w:hAnsi="宋体"/>
          <w:b/>
          <w:bCs/>
          <w:sz w:val="24"/>
        </w:rPr>
        <w:t>.校内实训基地基本要求</w:t>
      </w:r>
    </w:p>
    <w:p>
      <w:pPr>
        <w:snapToGrid w:val="0"/>
        <w:spacing w:line="440" w:lineRule="exact"/>
        <w:ind w:firstLine="540" w:firstLineChars="225"/>
        <w:rPr>
          <w:rFonts w:ascii="宋体" w:hAnsi="宋体"/>
          <w:bCs/>
          <w:sz w:val="24"/>
        </w:rPr>
      </w:pPr>
      <w:r>
        <w:rPr>
          <w:rFonts w:hint="eastAsia" w:ascii="宋体" w:hAnsi="宋体"/>
          <w:bCs/>
          <w:sz w:val="24"/>
        </w:rPr>
        <w:t>校内实训室以满足专业教学中的应用为出发点，硬件配置要适度，软件配置要专业化，切实解决好实训设备的更新换代问题，注重生产环境与职业氛围的营造，构建具备集教学功能、职业功能、研发功能和社会服务功能为一体的实训基地。</w:t>
      </w:r>
    </w:p>
    <w:p>
      <w:pPr>
        <w:snapToGrid w:val="0"/>
        <w:spacing w:line="440" w:lineRule="exact"/>
        <w:ind w:firstLine="540" w:firstLineChars="225"/>
        <w:rPr>
          <w:rFonts w:ascii="宋体" w:hAnsi="宋体"/>
          <w:bCs/>
          <w:sz w:val="24"/>
        </w:rPr>
      </w:pPr>
      <w:r>
        <w:rPr>
          <w:rFonts w:hint="eastAsia" w:ascii="宋体" w:hAnsi="宋体"/>
          <w:bCs/>
          <w:sz w:val="24"/>
        </w:rPr>
        <w:t>至少应建有机械测绘实训室、数控加工实训中心、维修电工实训室、电子技术实训室、</w:t>
      </w:r>
      <w:r>
        <w:rPr>
          <w:rFonts w:ascii="宋体" w:hAnsi="宋体"/>
          <w:bCs/>
          <w:sz w:val="24"/>
        </w:rPr>
        <w:t>PLC技术实训室、机械设计实训室、精益道场、CAD/CAM实训室、自动控制综合实训室</w:t>
      </w:r>
      <w:r>
        <w:rPr>
          <w:rFonts w:hint="eastAsia" w:ascii="宋体" w:hAnsi="宋体"/>
          <w:bCs/>
          <w:sz w:val="24"/>
        </w:rPr>
        <w:t>、城轨车站模型实训室、城市轨道交通机电设备综合实训室、司机模拟驾驶实训室、轨道交通信号控制系统实训室、地铁综合监控系统实训室等。</w:t>
      </w:r>
    </w:p>
    <w:tbl>
      <w:tblPr>
        <w:tblStyle w:val="24"/>
        <w:tblpPr w:leftFromText="180" w:rightFromText="180" w:vertAnchor="text" w:horzAnchor="page" w:tblpX="1407" w:tblpY="417"/>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989"/>
        <w:gridCol w:w="36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643" w:type="dxa"/>
            <w:shd w:val="clear" w:color="auto" w:fill="auto"/>
            <w:vAlign w:val="center"/>
          </w:tcPr>
          <w:p>
            <w:pPr>
              <w:jc w:val="center"/>
              <w:rPr>
                <w:rFonts w:ascii="仿宋_GB2312" w:eastAsia="仿宋_GB2312"/>
                <w:b/>
                <w:sz w:val="24"/>
              </w:rPr>
            </w:pPr>
            <w:r>
              <w:rPr>
                <w:rFonts w:hint="eastAsia" w:ascii="仿宋_GB2312" w:eastAsia="仿宋_GB2312"/>
                <w:b/>
                <w:sz w:val="24"/>
              </w:rPr>
              <w:t>实训类别</w:t>
            </w:r>
          </w:p>
        </w:tc>
        <w:tc>
          <w:tcPr>
            <w:tcW w:w="2989" w:type="dxa"/>
            <w:shd w:val="clear" w:color="auto" w:fill="auto"/>
            <w:vAlign w:val="center"/>
          </w:tcPr>
          <w:p>
            <w:pPr>
              <w:jc w:val="center"/>
              <w:rPr>
                <w:rFonts w:ascii="仿宋_GB2312" w:eastAsia="仿宋_GB2312"/>
                <w:b/>
                <w:sz w:val="24"/>
              </w:rPr>
            </w:pPr>
            <w:r>
              <w:rPr>
                <w:rFonts w:hint="eastAsia" w:ascii="仿宋_GB2312" w:eastAsia="仿宋_GB2312"/>
                <w:b/>
                <w:sz w:val="24"/>
              </w:rPr>
              <w:t>实训项目</w:t>
            </w:r>
          </w:p>
        </w:tc>
        <w:tc>
          <w:tcPr>
            <w:tcW w:w="3619" w:type="dxa"/>
            <w:shd w:val="clear" w:color="auto" w:fill="auto"/>
            <w:vAlign w:val="center"/>
          </w:tcPr>
          <w:p>
            <w:pPr>
              <w:jc w:val="center"/>
              <w:rPr>
                <w:rFonts w:ascii="仿宋_GB2312" w:eastAsia="仿宋_GB2312"/>
                <w:b/>
                <w:sz w:val="24"/>
              </w:rPr>
            </w:pPr>
            <w:r>
              <w:rPr>
                <w:rFonts w:hint="eastAsia" w:ascii="仿宋_GB2312" w:eastAsia="仿宋_GB2312"/>
                <w:b/>
                <w:sz w:val="24"/>
              </w:rPr>
              <w:t>主要设备名称</w:t>
            </w:r>
          </w:p>
        </w:tc>
        <w:tc>
          <w:tcPr>
            <w:tcW w:w="1319" w:type="dxa"/>
            <w:shd w:val="clear" w:color="auto" w:fill="auto"/>
            <w:vAlign w:val="center"/>
          </w:tcPr>
          <w:p>
            <w:pPr>
              <w:jc w:val="center"/>
              <w:rPr>
                <w:rFonts w:ascii="仿宋_GB2312" w:eastAsia="仿宋_GB2312"/>
                <w:b/>
                <w:sz w:val="24"/>
              </w:rPr>
            </w:pPr>
            <w:r>
              <w:rPr>
                <w:rFonts w:hint="eastAsia" w:ascii="仿宋_GB2312" w:eastAsia="仿宋_GB2312"/>
                <w:b/>
                <w:sz w:val="24"/>
              </w:rPr>
              <w:t>数量</w:t>
            </w:r>
          </w:p>
          <w:p>
            <w:pPr>
              <w:jc w:val="center"/>
              <w:rPr>
                <w:rFonts w:ascii="仿宋_GB2312" w:eastAsia="仿宋_GB2312"/>
                <w:b/>
                <w:sz w:val="24"/>
              </w:rPr>
            </w:pPr>
            <w:r>
              <w:rPr>
                <w:rFonts w:hint="eastAsia" w:ascii="仿宋_GB2312" w:eastAsia="仿宋_GB2312"/>
                <w:b/>
                <w:sz w:val="24"/>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szCs w:val="21"/>
              </w:rPr>
              <w:t>专业基础技能实训</w:t>
            </w:r>
          </w:p>
        </w:tc>
        <w:tc>
          <w:tcPr>
            <w:tcW w:w="2989" w:type="dxa"/>
            <w:vMerge w:val="restart"/>
            <w:shd w:val="clear" w:color="auto" w:fill="auto"/>
            <w:vAlign w:val="center"/>
          </w:tcPr>
          <w:p>
            <w:pPr>
              <w:jc w:val="center"/>
              <w:rPr>
                <w:rFonts w:ascii="宋体" w:hAnsi="宋体"/>
                <w:szCs w:val="21"/>
              </w:rPr>
            </w:pPr>
            <w:r>
              <w:rPr>
                <w:rFonts w:hint="eastAsia" w:ascii="宋体" w:hAnsi="宋体"/>
                <w:bCs/>
                <w:szCs w:val="21"/>
              </w:rPr>
              <w:t>职业素养与能力实训</w:t>
            </w:r>
          </w:p>
        </w:tc>
        <w:tc>
          <w:tcPr>
            <w:tcW w:w="3619" w:type="dxa"/>
            <w:shd w:val="clear" w:color="auto" w:fill="auto"/>
            <w:vAlign w:val="center"/>
          </w:tcPr>
          <w:p>
            <w:pPr>
              <w:snapToGrid w:val="0"/>
              <w:jc w:val="center"/>
              <w:rPr>
                <w:rFonts w:ascii="宋体" w:hAnsi="宋体"/>
                <w:bCs/>
                <w:szCs w:val="21"/>
              </w:rPr>
            </w:pPr>
            <w:r>
              <w:rPr>
                <w:rFonts w:hint="eastAsia" w:ascii="宋体" w:hAnsi="宋体"/>
                <w:szCs w:val="21"/>
              </w:rPr>
              <w:t>物流工场实验台</w:t>
            </w:r>
          </w:p>
        </w:tc>
        <w:tc>
          <w:tcPr>
            <w:tcW w:w="1319" w:type="dxa"/>
            <w:shd w:val="clear" w:color="auto" w:fill="auto"/>
            <w:vAlign w:val="center"/>
          </w:tcPr>
          <w:p>
            <w:pPr>
              <w:snapToGrid w:val="0"/>
              <w:ind w:firstLine="420" w:firstLineChars="200"/>
              <w:rPr>
                <w:rFonts w:ascii="宋体" w:hAnsi="宋体"/>
                <w:bCs/>
                <w:szCs w:val="21"/>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成本工场实验台</w:t>
            </w:r>
          </w:p>
        </w:tc>
        <w:tc>
          <w:tcPr>
            <w:tcW w:w="1319" w:type="dxa"/>
            <w:shd w:val="clear" w:color="auto" w:fill="auto"/>
            <w:vAlign w:val="center"/>
          </w:tcPr>
          <w:p>
            <w:pPr>
              <w:jc w:val="center"/>
              <w:rPr>
                <w:rFonts w:ascii="仿宋_GB2312" w:eastAsia="仿宋_GB2312"/>
                <w:sz w:val="24"/>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品质工场实验台</w:t>
            </w:r>
          </w:p>
        </w:tc>
        <w:tc>
          <w:tcPr>
            <w:tcW w:w="1319" w:type="dxa"/>
            <w:shd w:val="clear" w:color="auto" w:fill="auto"/>
            <w:vAlign w:val="center"/>
          </w:tcPr>
          <w:p>
            <w:pPr>
              <w:jc w:val="center"/>
              <w:rPr>
                <w:rFonts w:ascii="仿宋_GB2312" w:eastAsia="仿宋_GB2312"/>
                <w:sz w:val="24"/>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安全工场实验台</w:t>
            </w:r>
          </w:p>
        </w:tc>
        <w:tc>
          <w:tcPr>
            <w:tcW w:w="1319" w:type="dxa"/>
            <w:shd w:val="clear" w:color="auto" w:fill="auto"/>
            <w:vAlign w:val="center"/>
          </w:tcPr>
          <w:p>
            <w:pPr>
              <w:jc w:val="center"/>
              <w:rPr>
                <w:rFonts w:ascii="仿宋_GB2312" w:eastAsia="仿宋_GB2312"/>
                <w:sz w:val="24"/>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专业基础技能实训</w:t>
            </w:r>
          </w:p>
        </w:tc>
        <w:tc>
          <w:tcPr>
            <w:tcW w:w="2989" w:type="dxa"/>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工程制图与CAD、机械设计基础等机械基础课程实训</w:t>
            </w:r>
          </w:p>
        </w:tc>
        <w:tc>
          <w:tcPr>
            <w:tcW w:w="3619" w:type="dxa"/>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电脑、画图板、各类减速箱等</w:t>
            </w:r>
          </w:p>
        </w:tc>
        <w:tc>
          <w:tcPr>
            <w:tcW w:w="1319" w:type="dxa"/>
            <w:shd w:val="clear" w:color="auto" w:fill="auto"/>
            <w:vAlign w:val="center"/>
          </w:tcPr>
          <w:p>
            <w:pPr>
              <w:jc w:val="center"/>
              <w:rPr>
                <w:rFonts w:ascii="宋体" w:hAnsi="宋体" w:cs="宋体"/>
                <w:szCs w:val="21"/>
                <w:shd w:val="clear" w:color="auto" w:fill="FFFFFF"/>
              </w:rPr>
            </w:pPr>
            <w:r>
              <w:rPr>
                <w:rFonts w:ascii="宋体" w:hAnsi="宋体" w:cs="宋体"/>
                <w:szCs w:val="21"/>
                <w:shd w:val="clear" w:color="auto" w:fill="FFFFFF"/>
              </w:rPr>
              <w:t>5</w:t>
            </w:r>
            <w:r>
              <w:rPr>
                <w:rFonts w:hint="eastAsia" w:ascii="宋体" w:hAnsi="宋体" w:cs="宋体"/>
                <w:szCs w:val="21"/>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snapToGrid w:val="0"/>
              <w:jc w:val="center"/>
              <w:rPr>
                <w:rFonts w:ascii="宋体" w:hAnsi="宋体"/>
                <w:bCs/>
                <w:szCs w:val="21"/>
              </w:rPr>
            </w:pPr>
            <w:r>
              <w:rPr>
                <w:rFonts w:hint="eastAsia" w:ascii="宋体" w:hAnsi="宋体"/>
                <w:bCs/>
                <w:szCs w:val="21"/>
              </w:rPr>
              <w:t>专业基础技能实训</w:t>
            </w:r>
          </w:p>
        </w:tc>
        <w:tc>
          <w:tcPr>
            <w:tcW w:w="2989" w:type="dxa"/>
            <w:vMerge w:val="restart"/>
            <w:shd w:val="clear" w:color="auto" w:fill="auto"/>
            <w:vAlign w:val="center"/>
          </w:tcPr>
          <w:p>
            <w:pPr>
              <w:snapToGrid w:val="0"/>
              <w:jc w:val="center"/>
              <w:rPr>
                <w:rFonts w:ascii="宋体" w:hAnsi="宋体"/>
                <w:bCs/>
                <w:szCs w:val="21"/>
              </w:rPr>
            </w:pPr>
            <w:r>
              <w:rPr>
                <w:rFonts w:hint="eastAsia" w:ascii="宋体" w:hAnsi="宋体"/>
                <w:bCs/>
                <w:szCs w:val="21"/>
              </w:rPr>
              <w:t>金工实训</w:t>
            </w:r>
          </w:p>
        </w:tc>
        <w:tc>
          <w:tcPr>
            <w:tcW w:w="3619" w:type="dxa"/>
            <w:shd w:val="clear" w:color="auto" w:fill="auto"/>
            <w:vAlign w:val="center"/>
          </w:tcPr>
          <w:p>
            <w:pPr>
              <w:snapToGrid w:val="0"/>
              <w:jc w:val="center"/>
              <w:rPr>
                <w:rFonts w:ascii="宋体" w:hAnsi="宋体"/>
                <w:bCs/>
                <w:szCs w:val="21"/>
              </w:rPr>
            </w:pPr>
            <w:r>
              <w:rPr>
                <w:rFonts w:hint="eastAsia" w:ascii="宋体" w:hAnsi="宋体"/>
                <w:bCs/>
                <w:szCs w:val="21"/>
              </w:rPr>
              <w:t>钳工桌、台虎钳</w:t>
            </w:r>
          </w:p>
        </w:tc>
        <w:tc>
          <w:tcPr>
            <w:tcW w:w="1319" w:type="dxa"/>
            <w:shd w:val="clear" w:color="auto" w:fill="auto"/>
            <w:vAlign w:val="center"/>
          </w:tcPr>
          <w:p>
            <w:pPr>
              <w:snapToGrid w:val="0"/>
              <w:jc w:val="center"/>
              <w:rPr>
                <w:rFonts w:ascii="宋体" w:hAnsi="宋体"/>
                <w:bCs/>
                <w:szCs w:val="21"/>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普车</w:t>
            </w:r>
          </w:p>
        </w:tc>
        <w:tc>
          <w:tcPr>
            <w:tcW w:w="1319" w:type="dxa"/>
            <w:shd w:val="clear" w:color="auto" w:fill="auto"/>
            <w:vAlign w:val="center"/>
          </w:tcPr>
          <w:p>
            <w:pPr>
              <w:jc w:val="center"/>
              <w:rPr>
                <w:rFonts w:ascii="宋体" w:hAnsi="宋体"/>
                <w:bCs/>
                <w:szCs w:val="21"/>
              </w:rPr>
            </w:pPr>
            <w:r>
              <w:rPr>
                <w:rFonts w:ascii="宋体" w:hAnsi="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仿宋_GB2312" w:eastAsia="仿宋_GB2312"/>
                <w:sz w:val="24"/>
              </w:rPr>
            </w:pPr>
            <w:r>
              <w:rPr>
                <w:rFonts w:hint="eastAsia" w:ascii="宋体" w:hAnsi="宋体"/>
                <w:szCs w:val="21"/>
              </w:rPr>
              <w:t>专业基础技能实训</w:t>
            </w:r>
          </w:p>
        </w:tc>
        <w:tc>
          <w:tcPr>
            <w:tcW w:w="2989" w:type="dxa"/>
            <w:vMerge w:val="restart"/>
            <w:shd w:val="clear" w:color="auto" w:fill="auto"/>
            <w:vAlign w:val="center"/>
          </w:tcPr>
          <w:p>
            <w:pPr>
              <w:jc w:val="center"/>
              <w:rPr>
                <w:rFonts w:ascii="宋体" w:hAnsi="宋体"/>
                <w:b/>
                <w:szCs w:val="21"/>
              </w:rPr>
            </w:pPr>
            <w:r>
              <w:rPr>
                <w:rFonts w:hint="eastAsia" w:ascii="宋体" w:hAnsi="宋体"/>
                <w:szCs w:val="21"/>
              </w:rPr>
              <w:t>电子技术实训</w:t>
            </w:r>
          </w:p>
        </w:tc>
        <w:tc>
          <w:tcPr>
            <w:tcW w:w="3619" w:type="dxa"/>
            <w:shd w:val="clear" w:color="auto" w:fill="auto"/>
            <w:vAlign w:val="center"/>
          </w:tcPr>
          <w:p>
            <w:pPr>
              <w:jc w:val="center"/>
              <w:rPr>
                <w:rFonts w:ascii="宋体" w:hAnsi="宋体"/>
                <w:szCs w:val="21"/>
              </w:rPr>
            </w:pPr>
            <w:r>
              <w:rPr>
                <w:rFonts w:hint="eastAsia" w:ascii="宋体" w:hAnsi="宋体"/>
                <w:szCs w:val="21"/>
              </w:rPr>
              <w:t>模拟电路实验箱</w:t>
            </w:r>
          </w:p>
        </w:tc>
        <w:tc>
          <w:tcPr>
            <w:tcW w:w="1319" w:type="dxa"/>
            <w:shd w:val="clear" w:color="auto" w:fill="auto"/>
            <w:vAlign w:val="center"/>
          </w:tcPr>
          <w:p>
            <w:pPr>
              <w:jc w:val="center"/>
              <w:rPr>
                <w:rFonts w:ascii="宋体" w:hAnsi="宋体"/>
                <w:szCs w:val="21"/>
              </w:rPr>
            </w:pPr>
            <w:r>
              <w:rPr>
                <w:rFonts w:ascii="宋体" w:hAnsi="宋体"/>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szCs w:val="21"/>
              </w:rPr>
              <w:t>数字式示波器</w:t>
            </w:r>
          </w:p>
        </w:tc>
        <w:tc>
          <w:tcPr>
            <w:tcW w:w="1319" w:type="dxa"/>
            <w:shd w:val="clear" w:color="auto" w:fill="auto"/>
            <w:vAlign w:val="center"/>
          </w:tcPr>
          <w:p>
            <w:pPr>
              <w:jc w:val="center"/>
              <w:rPr>
                <w:rFonts w:ascii="宋体" w:hAnsi="宋体"/>
                <w:bCs/>
                <w:szCs w:val="21"/>
              </w:rPr>
            </w:pPr>
            <w:r>
              <w:rPr>
                <w:rFonts w:ascii="宋体" w:hAnsi="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szCs w:val="21"/>
              </w:rPr>
              <w:t>数字电路实验箱</w:t>
            </w:r>
          </w:p>
        </w:tc>
        <w:tc>
          <w:tcPr>
            <w:tcW w:w="1319" w:type="dxa"/>
            <w:shd w:val="clear" w:color="auto" w:fill="auto"/>
            <w:vAlign w:val="center"/>
          </w:tcPr>
          <w:p>
            <w:pPr>
              <w:jc w:val="center"/>
              <w:rPr>
                <w:rFonts w:ascii="宋体" w:hAnsi="宋体"/>
                <w:bCs/>
                <w:szCs w:val="21"/>
              </w:rPr>
            </w:pPr>
            <w:r>
              <w:rPr>
                <w:rFonts w:ascii="宋体" w:hAnsi="宋体"/>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szCs w:val="21"/>
              </w:rPr>
              <w:t>专业基础技能实训</w:t>
            </w:r>
          </w:p>
        </w:tc>
        <w:tc>
          <w:tcPr>
            <w:tcW w:w="2989" w:type="dxa"/>
            <w:vMerge w:val="restart"/>
            <w:shd w:val="clear" w:color="auto" w:fill="auto"/>
            <w:vAlign w:val="center"/>
          </w:tcPr>
          <w:p>
            <w:pPr>
              <w:jc w:val="center"/>
              <w:rPr>
                <w:rFonts w:ascii="宋体" w:hAnsi="宋体"/>
                <w:szCs w:val="21"/>
              </w:rPr>
            </w:pPr>
            <w:r>
              <w:rPr>
                <w:rFonts w:ascii="宋体" w:hAnsi="宋体"/>
                <w:szCs w:val="21"/>
              </w:rPr>
              <w:t>PLC应用技术实训</w:t>
            </w:r>
          </w:p>
        </w:tc>
        <w:tc>
          <w:tcPr>
            <w:tcW w:w="3619" w:type="dxa"/>
            <w:shd w:val="clear" w:color="auto" w:fill="auto"/>
            <w:vAlign w:val="center"/>
          </w:tcPr>
          <w:p>
            <w:pPr>
              <w:jc w:val="center"/>
              <w:rPr>
                <w:rFonts w:ascii="宋体" w:hAnsi="宋体"/>
                <w:b/>
                <w:szCs w:val="21"/>
              </w:rPr>
            </w:pPr>
            <w:r>
              <w:rPr>
                <w:rFonts w:ascii="宋体" w:hAnsi="宋体"/>
                <w:kern w:val="0"/>
                <w:szCs w:val="21"/>
              </w:rPr>
              <w:t>PLC控制实验箱</w:t>
            </w:r>
          </w:p>
        </w:tc>
        <w:tc>
          <w:tcPr>
            <w:tcW w:w="1319" w:type="dxa"/>
            <w:shd w:val="clear" w:color="auto" w:fill="auto"/>
            <w:vAlign w:val="center"/>
          </w:tcPr>
          <w:p>
            <w:pPr>
              <w:jc w:val="center"/>
              <w:rPr>
                <w:rFonts w:ascii="宋体" w:hAnsi="宋体"/>
                <w:b/>
                <w:szCs w:val="21"/>
              </w:rPr>
            </w:pPr>
            <w:r>
              <w:rPr>
                <w:rFonts w:ascii="宋体" w:hAnsi="宋体"/>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ascii="宋体" w:hAnsi="宋体"/>
                <w:kern w:val="0"/>
                <w:szCs w:val="21"/>
              </w:rPr>
              <w:t>PLC综合实训柜</w:t>
            </w:r>
          </w:p>
        </w:tc>
        <w:tc>
          <w:tcPr>
            <w:tcW w:w="1319" w:type="dxa"/>
            <w:shd w:val="clear" w:color="auto" w:fill="auto"/>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szCs w:val="21"/>
              </w:rPr>
              <w:t>联想台式电脑</w:t>
            </w:r>
          </w:p>
        </w:tc>
        <w:tc>
          <w:tcPr>
            <w:tcW w:w="1319" w:type="dxa"/>
            <w:shd w:val="clear" w:color="auto" w:fill="auto"/>
            <w:vAlign w:val="center"/>
          </w:tcPr>
          <w:p>
            <w:pPr>
              <w:jc w:val="center"/>
              <w:rPr>
                <w:rFonts w:ascii="宋体" w:hAnsi="宋体"/>
                <w:szCs w:val="21"/>
              </w:rPr>
            </w:pPr>
            <w:r>
              <w:rPr>
                <w:rFonts w:ascii="宋体" w:hAnsi="宋体"/>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szCs w:val="21"/>
              </w:rPr>
              <w:t>专业基础技能实训</w:t>
            </w:r>
          </w:p>
        </w:tc>
        <w:tc>
          <w:tcPr>
            <w:tcW w:w="2989" w:type="dxa"/>
            <w:vMerge w:val="restart"/>
            <w:shd w:val="clear" w:color="auto" w:fill="auto"/>
            <w:vAlign w:val="center"/>
          </w:tcPr>
          <w:p>
            <w:pPr>
              <w:jc w:val="center"/>
              <w:rPr>
                <w:rFonts w:ascii="宋体" w:hAnsi="宋体"/>
                <w:szCs w:val="21"/>
              </w:rPr>
            </w:pPr>
            <w:r>
              <w:rPr>
                <w:rFonts w:ascii="宋体" w:hAnsi="宋体"/>
                <w:szCs w:val="21"/>
              </w:rPr>
              <w:t>单片机</w:t>
            </w:r>
            <w:r>
              <w:rPr>
                <w:rFonts w:hint="eastAsia" w:ascii="宋体" w:hAnsi="宋体"/>
                <w:szCs w:val="21"/>
              </w:rPr>
              <w:t>应用实训</w:t>
            </w:r>
          </w:p>
        </w:tc>
        <w:tc>
          <w:tcPr>
            <w:tcW w:w="3619" w:type="dxa"/>
            <w:shd w:val="clear" w:color="auto" w:fill="auto"/>
            <w:vAlign w:val="center"/>
          </w:tcPr>
          <w:p>
            <w:pPr>
              <w:snapToGrid w:val="0"/>
              <w:jc w:val="center"/>
              <w:rPr>
                <w:rFonts w:ascii="宋体" w:hAnsi="宋体"/>
                <w:bCs/>
                <w:szCs w:val="21"/>
              </w:rPr>
            </w:pPr>
            <w:r>
              <w:rPr>
                <w:rFonts w:hint="eastAsia" w:ascii="宋体" w:hAnsi="宋体"/>
                <w:bCs/>
                <w:szCs w:val="21"/>
              </w:rPr>
              <w:t>电脑</w:t>
            </w:r>
          </w:p>
        </w:tc>
        <w:tc>
          <w:tcPr>
            <w:tcW w:w="1319" w:type="dxa"/>
            <w:shd w:val="clear" w:color="auto" w:fill="auto"/>
            <w:vAlign w:val="center"/>
          </w:tcPr>
          <w:p>
            <w:pPr>
              <w:snapToGrid w:val="0"/>
              <w:jc w:val="center"/>
              <w:rPr>
                <w:rFonts w:ascii="宋体" w:hAnsi="宋体"/>
                <w:bCs/>
                <w:szCs w:val="21"/>
              </w:rPr>
            </w:pPr>
            <w:r>
              <w:rPr>
                <w:rFonts w:ascii="宋体" w:hAnsi="宋体"/>
                <w:bCs/>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单片机实验箱、开发板</w:t>
            </w:r>
          </w:p>
        </w:tc>
        <w:tc>
          <w:tcPr>
            <w:tcW w:w="1319" w:type="dxa"/>
            <w:shd w:val="clear" w:color="auto" w:fill="auto"/>
            <w:vAlign w:val="center"/>
          </w:tcPr>
          <w:p>
            <w:pPr>
              <w:jc w:val="center"/>
              <w:rPr>
                <w:rFonts w:ascii="宋体" w:hAnsi="宋体"/>
                <w:szCs w:val="21"/>
              </w:rPr>
            </w:pPr>
            <w:r>
              <w:rPr>
                <w:rFonts w:ascii="宋体" w:hAnsi="宋体"/>
                <w:bCs/>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ascii="宋体" w:hAnsi="宋体"/>
                <w:bCs/>
                <w:szCs w:val="21"/>
              </w:rPr>
              <w:t>PCB制板设备</w:t>
            </w:r>
          </w:p>
        </w:tc>
        <w:tc>
          <w:tcPr>
            <w:tcW w:w="1319" w:type="dxa"/>
            <w:shd w:val="clear" w:color="auto" w:fill="auto"/>
            <w:vAlign w:val="center"/>
          </w:tcPr>
          <w:p>
            <w:pPr>
              <w:jc w:val="center"/>
              <w:rPr>
                <w:rFonts w:ascii="宋体" w:hAnsi="宋体"/>
                <w:szCs w:val="21"/>
              </w:rPr>
            </w:pPr>
            <w:r>
              <w:rPr>
                <w:rFonts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2989" w:type="dxa"/>
            <w:vMerge w:val="restart"/>
            <w:shd w:val="clear" w:color="auto" w:fill="auto"/>
            <w:vAlign w:val="center"/>
          </w:tcPr>
          <w:p>
            <w:pPr>
              <w:jc w:val="center"/>
              <w:rPr>
                <w:rFonts w:ascii="宋体" w:hAnsi="宋体"/>
                <w:bCs/>
                <w:szCs w:val="21"/>
              </w:rPr>
            </w:pPr>
            <w:r>
              <w:rPr>
                <w:rFonts w:hint="eastAsia" w:ascii="宋体" w:hAnsi="宋体"/>
                <w:bCs/>
                <w:szCs w:val="21"/>
              </w:rPr>
              <w:t>低压电工作业实训</w:t>
            </w:r>
          </w:p>
          <w:p>
            <w:pPr>
              <w:jc w:val="center"/>
              <w:rPr>
                <w:rFonts w:ascii="宋体" w:hAnsi="宋体"/>
                <w:szCs w:val="21"/>
              </w:rPr>
            </w:pPr>
            <w:r>
              <w:rPr>
                <w:rFonts w:ascii="宋体" w:hAnsi="宋体"/>
                <w:bCs/>
                <w:szCs w:val="21"/>
              </w:rPr>
              <w:t>维修电工实训</w:t>
            </w:r>
            <w:r>
              <w:rPr>
                <w:rFonts w:hint="eastAsia" w:ascii="宋体" w:hAnsi="宋体"/>
                <w:bCs/>
                <w:szCs w:val="21"/>
              </w:rPr>
              <w:t>（中级）</w:t>
            </w:r>
          </w:p>
        </w:tc>
        <w:tc>
          <w:tcPr>
            <w:tcW w:w="3619" w:type="dxa"/>
            <w:shd w:val="clear" w:color="auto" w:fill="auto"/>
            <w:vAlign w:val="center"/>
          </w:tcPr>
          <w:p>
            <w:pPr>
              <w:snapToGrid w:val="0"/>
              <w:jc w:val="center"/>
              <w:rPr>
                <w:rFonts w:ascii="宋体" w:hAnsi="宋体"/>
                <w:bCs/>
                <w:szCs w:val="21"/>
              </w:rPr>
            </w:pPr>
            <w:r>
              <w:rPr>
                <w:rFonts w:hint="eastAsia" w:ascii="宋体" w:hAnsi="宋体"/>
                <w:bCs/>
                <w:szCs w:val="21"/>
              </w:rPr>
              <w:t>模拟机床</w:t>
            </w:r>
          </w:p>
        </w:tc>
        <w:tc>
          <w:tcPr>
            <w:tcW w:w="1319" w:type="dxa"/>
            <w:shd w:val="clear" w:color="auto" w:fill="auto"/>
            <w:vAlign w:val="center"/>
          </w:tcPr>
          <w:p>
            <w:pPr>
              <w:snapToGrid w:val="0"/>
              <w:jc w:val="center"/>
              <w:rPr>
                <w:rFonts w:ascii="宋体" w:hAnsi="宋体"/>
                <w:bCs/>
                <w:szCs w:val="21"/>
              </w:rPr>
            </w:pPr>
            <w:r>
              <w:rPr>
                <w:rFonts w:ascii="宋体" w:hAnsi="宋体"/>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电工实训柜</w:t>
            </w:r>
          </w:p>
        </w:tc>
        <w:tc>
          <w:tcPr>
            <w:tcW w:w="1319" w:type="dxa"/>
            <w:shd w:val="clear" w:color="auto" w:fill="auto"/>
            <w:vAlign w:val="center"/>
          </w:tcPr>
          <w:p>
            <w:pPr>
              <w:jc w:val="center"/>
              <w:rPr>
                <w:rFonts w:ascii="仿宋_GB2312" w:eastAsia="仿宋_GB2312"/>
                <w:sz w:val="24"/>
              </w:rPr>
            </w:pPr>
            <w:r>
              <w:rPr>
                <w:rFonts w:ascii="宋体" w:hAnsi="宋体"/>
                <w:bCs/>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电工安装板</w:t>
            </w:r>
          </w:p>
        </w:tc>
        <w:tc>
          <w:tcPr>
            <w:tcW w:w="1319" w:type="dxa"/>
            <w:shd w:val="clear" w:color="auto" w:fill="auto"/>
            <w:vAlign w:val="center"/>
          </w:tcPr>
          <w:p>
            <w:pPr>
              <w:jc w:val="center"/>
              <w:rPr>
                <w:rFonts w:ascii="仿宋_GB2312" w:eastAsia="仿宋_GB2312"/>
                <w:sz w:val="24"/>
              </w:rPr>
            </w:pPr>
            <w:r>
              <w:rPr>
                <w:rFonts w:ascii="宋体" w:hAnsi="宋体"/>
                <w:bCs/>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数字示波器</w:t>
            </w:r>
          </w:p>
        </w:tc>
        <w:tc>
          <w:tcPr>
            <w:tcW w:w="1319" w:type="dxa"/>
            <w:shd w:val="clear" w:color="auto" w:fill="auto"/>
            <w:vAlign w:val="center"/>
          </w:tcPr>
          <w:p>
            <w:pPr>
              <w:jc w:val="center"/>
              <w:rPr>
                <w:rFonts w:ascii="仿宋_GB2312" w:eastAsia="仿宋_GB2312"/>
                <w:sz w:val="24"/>
              </w:rPr>
            </w:pPr>
            <w:r>
              <w:rPr>
                <w:rFonts w:ascii="宋体" w:hAnsi="宋体"/>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信号发生器</w:t>
            </w:r>
          </w:p>
        </w:tc>
        <w:tc>
          <w:tcPr>
            <w:tcW w:w="1319" w:type="dxa"/>
            <w:shd w:val="clear" w:color="auto" w:fill="auto"/>
            <w:vAlign w:val="center"/>
          </w:tcPr>
          <w:p>
            <w:pPr>
              <w:jc w:val="center"/>
              <w:rPr>
                <w:rFonts w:ascii="仿宋_GB2312" w:eastAsia="仿宋_GB2312"/>
                <w:sz w:val="24"/>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仿宋_GB2312" w:eastAsia="仿宋_GB2312"/>
                <w:sz w:val="24"/>
              </w:rPr>
            </w:pPr>
            <w:r>
              <w:rPr>
                <w:rFonts w:hint="eastAsia" w:ascii="宋体" w:hAnsi="宋体"/>
                <w:bCs/>
                <w:szCs w:val="21"/>
              </w:rPr>
              <w:t>晶体管图示仪</w:t>
            </w:r>
          </w:p>
        </w:tc>
        <w:tc>
          <w:tcPr>
            <w:tcW w:w="1319" w:type="dxa"/>
            <w:shd w:val="clear" w:color="auto" w:fill="auto"/>
            <w:vAlign w:val="center"/>
          </w:tcPr>
          <w:p>
            <w:pPr>
              <w:jc w:val="center"/>
              <w:rPr>
                <w:rFonts w:ascii="仿宋_GB2312" w:eastAsia="仿宋_GB2312"/>
                <w:sz w:val="24"/>
              </w:rPr>
            </w:pPr>
            <w:r>
              <w:rPr>
                <w:rFonts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仿宋_GB2312" w:eastAsia="仿宋_GB2312"/>
                <w:sz w:val="24"/>
              </w:rPr>
            </w:pPr>
            <w:r>
              <w:rPr>
                <w:rFonts w:hint="eastAsia" w:ascii="宋体" w:hAnsi="宋体"/>
                <w:szCs w:val="21"/>
              </w:rPr>
              <w:t>专业核心技能实训</w:t>
            </w:r>
          </w:p>
        </w:tc>
        <w:tc>
          <w:tcPr>
            <w:tcW w:w="2989" w:type="dxa"/>
            <w:vMerge w:val="restart"/>
            <w:shd w:val="clear" w:color="auto" w:fill="auto"/>
            <w:vAlign w:val="center"/>
          </w:tcPr>
          <w:p>
            <w:pPr>
              <w:jc w:val="center"/>
              <w:rPr>
                <w:rFonts w:ascii="宋体" w:hAnsi="宋体" w:cs="宋体"/>
                <w:szCs w:val="21"/>
              </w:rPr>
            </w:pPr>
            <w:r>
              <w:rPr>
                <w:rFonts w:hint="eastAsia" w:ascii="宋体" w:hAnsi="宋体"/>
                <w:szCs w:val="21"/>
              </w:rPr>
              <w:t>自动控制综合应用技术实训</w:t>
            </w:r>
          </w:p>
        </w:tc>
        <w:tc>
          <w:tcPr>
            <w:tcW w:w="3619" w:type="dxa"/>
            <w:shd w:val="clear" w:color="auto" w:fill="auto"/>
            <w:vAlign w:val="center"/>
          </w:tcPr>
          <w:p>
            <w:pPr>
              <w:jc w:val="center"/>
              <w:rPr>
                <w:rFonts w:ascii="宋体" w:hAnsi="宋体" w:cs="宋体"/>
                <w:color w:val="000000"/>
                <w:szCs w:val="21"/>
                <w:shd w:val="clear" w:color="auto" w:fill="FFFFFF"/>
                <w:lang w:val="zh-CN"/>
              </w:rPr>
            </w:pPr>
            <w:r>
              <w:fldChar w:fldCharType="begin"/>
            </w:r>
            <w:r>
              <w:instrText xml:space="preserve"> HYPERLINK "https://www.baidu.com/link?url=9DNt2v5CedWV6Tq6CKESkzHFKp8MKMpZ09DTkzdep4u8yuIxGfDD74o6f-DLDnkxLgoXZz6NGx9cK-8syc1-J_&amp;wd=&amp;eqid=9be718730018c15f00000004578077c8" \t "https://www.baidu.com/_blank" </w:instrText>
            </w:r>
            <w:r>
              <w:fldChar w:fldCharType="separate"/>
            </w:r>
            <w:r>
              <w:rPr>
                <w:rFonts w:hint="eastAsia" w:ascii="宋体" w:hAnsi="宋体" w:cs="宋体"/>
                <w:color w:val="000000"/>
                <w:szCs w:val="21"/>
                <w:shd w:val="clear" w:color="auto" w:fill="FFFFFF"/>
                <w:lang w:val="zh-CN"/>
              </w:rPr>
              <w:t>自动控制综合实训台</w:t>
            </w:r>
            <w:r>
              <w:rPr>
                <w:rFonts w:hint="eastAsia" w:ascii="宋体" w:hAnsi="宋体" w:cs="宋体"/>
                <w:color w:val="000000"/>
                <w:szCs w:val="21"/>
                <w:shd w:val="clear" w:color="auto" w:fill="FFFFFF"/>
                <w:lang w:val="zh-CN"/>
              </w:rPr>
              <w:fldChar w:fldCharType="end"/>
            </w:r>
          </w:p>
        </w:tc>
        <w:tc>
          <w:tcPr>
            <w:tcW w:w="1319" w:type="dxa"/>
            <w:shd w:val="clear" w:color="auto" w:fill="auto"/>
            <w:vAlign w:val="center"/>
          </w:tcPr>
          <w:p>
            <w:pPr>
              <w:jc w:val="center"/>
              <w:rPr>
                <w:rFonts w:ascii="宋体" w:hAnsi="宋体" w:cs="宋体"/>
                <w:color w:val="000000"/>
                <w:szCs w:val="21"/>
                <w:shd w:val="clear" w:color="auto" w:fill="FFFFFF"/>
                <w:lang w:val="zh-CN"/>
              </w:rPr>
            </w:pPr>
            <w:r>
              <w:rPr>
                <w:rFonts w:ascii="宋体" w:hAnsi="宋体" w:cs="宋体"/>
                <w:color w:val="000000"/>
                <w:szCs w:val="21"/>
                <w:shd w:val="clear" w:color="auto" w:fill="FFFFFF"/>
                <w:lang w:val="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rPr>
              <w:t>自制非标专机及对应控制柜</w:t>
            </w:r>
          </w:p>
        </w:tc>
        <w:tc>
          <w:tcPr>
            <w:tcW w:w="1319" w:type="dxa"/>
            <w:shd w:val="clear" w:color="auto" w:fill="auto"/>
            <w:vAlign w:val="center"/>
          </w:tcPr>
          <w:p>
            <w:pPr>
              <w:jc w:val="center"/>
              <w:rPr>
                <w:rFonts w:ascii="宋体" w:hAnsi="宋体"/>
                <w:bCs/>
                <w:szCs w:val="21"/>
              </w:rPr>
            </w:pPr>
            <w:r>
              <w:rPr>
                <w:rFonts w:ascii="宋体" w:hAnsi="宋体" w:cs="宋体"/>
                <w:color w:val="000000"/>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2989" w:type="dxa"/>
            <w:vMerge w:val="restart"/>
            <w:shd w:val="clear" w:color="auto" w:fill="auto"/>
            <w:vAlign w:val="center"/>
          </w:tcPr>
          <w:p>
            <w:pPr>
              <w:jc w:val="center"/>
              <w:rPr>
                <w:rFonts w:ascii="宋体" w:hAnsi="宋体"/>
                <w:szCs w:val="21"/>
              </w:rPr>
            </w:pPr>
            <w:r>
              <w:rPr>
                <w:rFonts w:hint="eastAsia" w:ascii="宋体" w:hAnsi="宋体"/>
                <w:szCs w:val="21"/>
              </w:rPr>
              <w:t>城市轨道交通综合实训</w:t>
            </w:r>
          </w:p>
        </w:tc>
        <w:tc>
          <w:tcPr>
            <w:tcW w:w="3619" w:type="dxa"/>
            <w:shd w:val="clear" w:color="auto" w:fill="auto"/>
            <w:vAlign w:val="center"/>
          </w:tcPr>
          <w:p>
            <w:pPr>
              <w:snapToGrid w:val="0"/>
              <w:jc w:val="center"/>
              <w:rPr>
                <w:rFonts w:ascii="宋体" w:hAnsi="宋体"/>
                <w:bCs/>
                <w:szCs w:val="21"/>
              </w:rPr>
            </w:pPr>
            <w:r>
              <w:rPr>
                <w:rFonts w:hint="eastAsia" w:ascii="宋体" w:hAnsi="宋体"/>
                <w:bCs/>
                <w:szCs w:val="21"/>
              </w:rPr>
              <w:t>车站控制室综合后备盘（IBP）及综合监控（ISCS）实训平台</w:t>
            </w:r>
          </w:p>
        </w:tc>
        <w:tc>
          <w:tcPr>
            <w:tcW w:w="1319" w:type="dxa"/>
            <w:shd w:val="clear" w:color="auto" w:fill="auto"/>
            <w:vAlign w:val="center"/>
          </w:tcPr>
          <w:p>
            <w:pPr>
              <w:snapToGrid w:val="0"/>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单机版综合监控软件及单机版ATS软件</w:t>
            </w:r>
          </w:p>
        </w:tc>
        <w:tc>
          <w:tcPr>
            <w:tcW w:w="1319" w:type="dxa"/>
            <w:shd w:val="clear" w:color="auto" w:fill="auto"/>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自动售检票系统（AFC）实训平台</w:t>
            </w:r>
          </w:p>
        </w:tc>
        <w:tc>
          <w:tcPr>
            <w:tcW w:w="1319" w:type="dxa"/>
            <w:shd w:val="clear" w:color="auto" w:fill="auto"/>
            <w:vAlign w:val="center"/>
          </w:tcPr>
          <w:p>
            <w:pPr>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单机版票务软件及检修仿真软件</w:t>
            </w:r>
          </w:p>
        </w:tc>
        <w:tc>
          <w:tcPr>
            <w:tcW w:w="1319" w:type="dxa"/>
            <w:shd w:val="clear" w:color="auto" w:fill="auto"/>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屏蔽门系统（PSD）实训平台</w:t>
            </w:r>
          </w:p>
        </w:tc>
        <w:tc>
          <w:tcPr>
            <w:tcW w:w="1319" w:type="dxa"/>
            <w:shd w:val="clear" w:color="auto" w:fill="auto"/>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屏蔽门系统检修仿真软件</w:t>
            </w:r>
          </w:p>
        </w:tc>
        <w:tc>
          <w:tcPr>
            <w:tcW w:w="1319" w:type="dxa"/>
            <w:shd w:val="clear" w:color="auto" w:fill="auto"/>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电梯系统实训平台（城轨车站电梯三维检修软件）</w:t>
            </w:r>
          </w:p>
        </w:tc>
        <w:tc>
          <w:tcPr>
            <w:tcW w:w="1319" w:type="dxa"/>
            <w:shd w:val="clear" w:color="auto" w:fill="auto"/>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平台型模拟驾驶器</w:t>
            </w:r>
          </w:p>
        </w:tc>
        <w:tc>
          <w:tcPr>
            <w:tcW w:w="1319" w:type="dxa"/>
            <w:shd w:val="clear" w:color="auto" w:fill="auto"/>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单机版模拟驾驶软件</w:t>
            </w:r>
          </w:p>
        </w:tc>
        <w:tc>
          <w:tcPr>
            <w:tcW w:w="1319" w:type="dxa"/>
            <w:shd w:val="clear" w:color="auto" w:fill="auto"/>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szCs w:val="21"/>
              </w:rPr>
            </w:pPr>
            <w:r>
              <w:rPr>
                <w:rFonts w:hint="eastAsia" w:ascii="宋体" w:hAnsi="宋体"/>
                <w:bCs/>
                <w:szCs w:val="21"/>
              </w:rPr>
              <w:t>专业拓展技能实训</w:t>
            </w:r>
          </w:p>
        </w:tc>
        <w:tc>
          <w:tcPr>
            <w:tcW w:w="2989" w:type="dxa"/>
            <w:vMerge w:val="restart"/>
            <w:shd w:val="clear" w:color="auto" w:fill="auto"/>
            <w:vAlign w:val="center"/>
          </w:tcPr>
          <w:p>
            <w:pPr>
              <w:jc w:val="center"/>
              <w:rPr>
                <w:rFonts w:ascii="仿宋_GB2312" w:eastAsia="仿宋_GB2312"/>
                <w:sz w:val="24"/>
              </w:rPr>
            </w:pPr>
            <w:r>
              <w:rPr>
                <w:rFonts w:hint="eastAsia" w:ascii="宋体" w:hAnsi="宋体"/>
                <w:szCs w:val="21"/>
              </w:rPr>
              <w:t>城市轨道交通信号设备维检修实训</w:t>
            </w:r>
          </w:p>
        </w:tc>
        <w:tc>
          <w:tcPr>
            <w:tcW w:w="3619" w:type="dxa"/>
            <w:shd w:val="clear" w:color="auto" w:fill="auto"/>
            <w:vAlign w:val="center"/>
          </w:tcPr>
          <w:p>
            <w:pPr>
              <w:jc w:val="center"/>
              <w:rPr>
                <w:rFonts w:ascii="宋体" w:hAnsi="宋体"/>
                <w:bCs/>
                <w:szCs w:val="21"/>
              </w:rPr>
            </w:pPr>
            <w:r>
              <w:rPr>
                <w:rFonts w:hint="eastAsia" w:ascii="宋体" w:hAnsi="宋体"/>
                <w:bCs/>
                <w:szCs w:val="21"/>
              </w:rPr>
              <w:t>转辙机</w:t>
            </w:r>
          </w:p>
        </w:tc>
        <w:tc>
          <w:tcPr>
            <w:tcW w:w="1319" w:type="dxa"/>
            <w:shd w:val="clear" w:color="auto" w:fill="auto"/>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信号机</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钢轨及道岔</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轨旁设备（含应答器、计轴器）</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轨道电路</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控制台</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组合架</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继电器测试台</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电源柜</w:t>
            </w:r>
          </w:p>
        </w:tc>
        <w:tc>
          <w:tcPr>
            <w:tcW w:w="1319" w:type="dxa"/>
            <w:shd w:val="clear" w:color="auto" w:fill="auto"/>
            <w:vAlign w:val="center"/>
          </w:tcPr>
          <w:p>
            <w:pPr>
              <w:jc w:val="center"/>
              <w:rPr>
                <w:rFonts w:ascii="宋体" w:hAnsi="宋体"/>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szCs w:val="21"/>
              </w:rPr>
            </w:pPr>
            <w:r>
              <w:rPr>
                <w:rFonts w:hint="eastAsia" w:ascii="宋体" w:hAnsi="宋体"/>
                <w:bCs/>
                <w:szCs w:val="21"/>
              </w:rPr>
              <w:t>ATS系统仿真软件</w:t>
            </w:r>
          </w:p>
        </w:tc>
        <w:tc>
          <w:tcPr>
            <w:tcW w:w="1319" w:type="dxa"/>
            <w:shd w:val="clear" w:color="auto" w:fill="auto"/>
            <w:vAlign w:val="center"/>
          </w:tcPr>
          <w:p>
            <w:pPr>
              <w:jc w:val="center"/>
              <w:rPr>
                <w:rFonts w:ascii="宋体" w:hAnsi="宋体"/>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restart"/>
            <w:shd w:val="clear" w:color="auto" w:fill="auto"/>
            <w:vAlign w:val="center"/>
          </w:tcPr>
          <w:p>
            <w:pPr>
              <w:jc w:val="center"/>
              <w:rPr>
                <w:rFonts w:ascii="宋体" w:hAnsi="宋体"/>
                <w:bCs/>
                <w:szCs w:val="21"/>
              </w:rPr>
            </w:pPr>
            <w:r>
              <w:rPr>
                <w:rFonts w:hint="eastAsia" w:ascii="宋体" w:hAnsi="宋体"/>
                <w:bCs/>
                <w:szCs w:val="21"/>
              </w:rPr>
              <w:t>专业拓展技能实训</w:t>
            </w:r>
          </w:p>
        </w:tc>
        <w:tc>
          <w:tcPr>
            <w:tcW w:w="2989" w:type="dxa"/>
            <w:vMerge w:val="restart"/>
            <w:shd w:val="clear" w:color="auto" w:fill="auto"/>
            <w:vAlign w:val="center"/>
          </w:tcPr>
          <w:p>
            <w:pPr>
              <w:jc w:val="center"/>
              <w:rPr>
                <w:rFonts w:ascii="宋体" w:hAnsi="宋体"/>
                <w:bCs/>
                <w:szCs w:val="21"/>
              </w:rPr>
            </w:pPr>
            <w:r>
              <w:rPr>
                <w:rFonts w:hint="eastAsia" w:ascii="宋体" w:hAnsi="宋体"/>
                <w:bCs/>
                <w:szCs w:val="21"/>
              </w:rPr>
              <w:t>轨道交通电气设备装调实训(中级)</w:t>
            </w:r>
          </w:p>
        </w:tc>
        <w:tc>
          <w:tcPr>
            <w:tcW w:w="3619" w:type="dxa"/>
            <w:shd w:val="clear" w:color="auto" w:fill="auto"/>
            <w:vAlign w:val="center"/>
          </w:tcPr>
          <w:p>
            <w:pPr>
              <w:jc w:val="center"/>
              <w:rPr>
                <w:rFonts w:ascii="宋体" w:hAnsi="宋体"/>
                <w:bCs/>
                <w:szCs w:val="21"/>
              </w:rPr>
            </w:pPr>
            <w:r>
              <w:rPr>
                <w:rFonts w:hint="eastAsia" w:ascii="宋体" w:hAnsi="宋体"/>
                <w:bCs/>
                <w:szCs w:val="21"/>
              </w:rPr>
              <w:t>高低压电器器件拆装与检测设备</w:t>
            </w:r>
          </w:p>
        </w:tc>
        <w:tc>
          <w:tcPr>
            <w:tcW w:w="1319" w:type="dxa"/>
            <w:shd w:val="clear" w:color="auto" w:fill="auto"/>
            <w:vAlign w:val="center"/>
          </w:tcPr>
          <w:p>
            <w:pPr>
              <w:jc w:val="center"/>
              <w:rPr>
                <w:rFonts w:ascii="宋体" w:hAnsi="宋体"/>
                <w:bCs/>
                <w:szCs w:val="21"/>
              </w:rPr>
            </w:pP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电气控制电路配盘安装与调试设备</w:t>
            </w:r>
          </w:p>
        </w:tc>
        <w:tc>
          <w:tcPr>
            <w:tcW w:w="1319" w:type="dxa"/>
            <w:shd w:val="clear" w:color="auto" w:fill="auto"/>
            <w:vAlign w:val="center"/>
          </w:tcPr>
          <w:p>
            <w:pPr>
              <w:jc w:val="center"/>
              <w:rPr>
                <w:rFonts w:ascii="宋体" w:hAnsi="宋体"/>
                <w:bCs/>
                <w:szCs w:val="21"/>
              </w:rPr>
            </w:pP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电子电路安装与调试设备</w:t>
            </w:r>
          </w:p>
        </w:tc>
        <w:tc>
          <w:tcPr>
            <w:tcW w:w="1319" w:type="dxa"/>
            <w:shd w:val="clear" w:color="auto" w:fill="auto"/>
            <w:vAlign w:val="center"/>
          </w:tcPr>
          <w:p>
            <w:pPr>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3" w:type="dxa"/>
            <w:vMerge w:val="continue"/>
            <w:shd w:val="clear" w:color="auto" w:fill="auto"/>
            <w:vAlign w:val="center"/>
          </w:tcPr>
          <w:p>
            <w:pPr>
              <w:jc w:val="center"/>
              <w:rPr>
                <w:rFonts w:ascii="仿宋_GB2312" w:eastAsia="仿宋_GB2312"/>
                <w:sz w:val="24"/>
              </w:rPr>
            </w:pPr>
          </w:p>
        </w:tc>
        <w:tc>
          <w:tcPr>
            <w:tcW w:w="2989" w:type="dxa"/>
            <w:vMerge w:val="continue"/>
            <w:shd w:val="clear" w:color="auto" w:fill="auto"/>
            <w:vAlign w:val="center"/>
          </w:tcPr>
          <w:p>
            <w:pPr>
              <w:jc w:val="center"/>
              <w:rPr>
                <w:rFonts w:ascii="仿宋_GB2312" w:eastAsia="仿宋_GB2312"/>
                <w:sz w:val="24"/>
              </w:rPr>
            </w:pPr>
          </w:p>
        </w:tc>
        <w:tc>
          <w:tcPr>
            <w:tcW w:w="3619" w:type="dxa"/>
            <w:shd w:val="clear" w:color="auto" w:fill="auto"/>
            <w:vAlign w:val="center"/>
          </w:tcPr>
          <w:p>
            <w:pPr>
              <w:jc w:val="center"/>
              <w:rPr>
                <w:rFonts w:ascii="宋体" w:hAnsi="宋体"/>
                <w:bCs/>
                <w:szCs w:val="21"/>
              </w:rPr>
            </w:pPr>
            <w:r>
              <w:rPr>
                <w:rFonts w:hint="eastAsia" w:ascii="宋体" w:hAnsi="宋体"/>
                <w:bCs/>
                <w:szCs w:val="21"/>
              </w:rPr>
              <w:t>检查与调试的电气设备</w:t>
            </w:r>
          </w:p>
        </w:tc>
        <w:tc>
          <w:tcPr>
            <w:tcW w:w="1319" w:type="dxa"/>
            <w:shd w:val="clear" w:color="auto" w:fill="auto"/>
            <w:vAlign w:val="center"/>
          </w:tcPr>
          <w:p>
            <w:pPr>
              <w:jc w:val="center"/>
              <w:rPr>
                <w:rFonts w:ascii="宋体" w:hAnsi="宋体"/>
                <w:bCs/>
                <w:szCs w:val="21"/>
              </w:rPr>
            </w:pPr>
            <w:r>
              <w:rPr>
                <w:rFonts w:hint="eastAsia" w:ascii="宋体" w:hAnsi="宋体"/>
                <w:bCs/>
                <w:szCs w:val="21"/>
              </w:rPr>
              <w:t>3</w:t>
            </w:r>
          </w:p>
        </w:tc>
      </w:tr>
    </w:tbl>
    <w:p>
      <w:pPr>
        <w:snapToGrid w:val="0"/>
        <w:spacing w:line="440" w:lineRule="exact"/>
        <w:ind w:firstLine="480" w:firstLineChars="200"/>
        <w:rPr>
          <w:rFonts w:ascii="宋体" w:hAnsi="宋体"/>
          <w:bCs/>
          <w:sz w:val="24"/>
        </w:rPr>
      </w:pPr>
      <w:r>
        <w:rPr>
          <w:rFonts w:hint="eastAsia" w:ascii="宋体" w:hAnsi="宋体"/>
          <w:bCs/>
          <w:sz w:val="24"/>
        </w:rPr>
        <w:t>具体配置要求如下：</w:t>
      </w:r>
    </w:p>
    <w:p>
      <w:pPr>
        <w:snapToGrid w:val="0"/>
        <w:spacing w:line="440" w:lineRule="exact"/>
        <w:ind w:firstLine="482" w:firstLineChars="200"/>
        <w:rPr>
          <w:rFonts w:ascii="宋体" w:hAnsi="宋体"/>
          <w:b/>
          <w:bCs/>
          <w:sz w:val="24"/>
        </w:rPr>
      </w:pPr>
    </w:p>
    <w:p>
      <w:pPr>
        <w:snapToGrid w:val="0"/>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.校外实训基地基本要求</w:t>
      </w:r>
    </w:p>
    <w:p>
      <w:pPr>
        <w:snapToGrid w:val="0"/>
        <w:spacing w:line="440" w:lineRule="exact"/>
        <w:ind w:firstLine="480" w:firstLineChars="200"/>
        <w:rPr>
          <w:rFonts w:ascii="宋体" w:hAnsi="宋体"/>
          <w:bCs/>
          <w:sz w:val="24"/>
        </w:rPr>
      </w:pPr>
      <w:r>
        <w:rPr>
          <w:rFonts w:hint="eastAsia" w:ascii="宋体" w:hAnsi="宋体"/>
          <w:bCs/>
          <w:sz w:val="24"/>
        </w:rPr>
        <w:t>校外实训基地是培养学生职业技能和实际工作能力的重要场所，顶岗就业实训基地的岗位与</w:t>
      </w:r>
      <w:r>
        <w:rPr>
          <w:rFonts w:ascii="宋体" w:hAnsi="宋体"/>
          <w:bCs/>
          <w:sz w:val="24"/>
        </w:rPr>
        <w:t>专业方向</w:t>
      </w:r>
      <w:r>
        <w:rPr>
          <w:rFonts w:hint="eastAsia" w:ascii="宋体" w:hAnsi="宋体"/>
          <w:bCs/>
          <w:sz w:val="24"/>
        </w:rPr>
        <w:t>对口，可接收</w:t>
      </w:r>
      <w:r>
        <w:rPr>
          <w:rFonts w:ascii="宋体" w:hAnsi="宋体"/>
          <w:bCs/>
          <w:sz w:val="24"/>
        </w:rPr>
        <w:t>50</w:t>
      </w:r>
      <w:r>
        <w:rPr>
          <w:rFonts w:hint="eastAsia" w:ascii="宋体" w:hAnsi="宋体"/>
          <w:bCs/>
          <w:sz w:val="24"/>
        </w:rPr>
        <w:t>人以上学生顶岗实习，有成熟</w:t>
      </w:r>
      <w:r>
        <w:rPr>
          <w:rFonts w:ascii="宋体" w:hAnsi="宋体"/>
          <w:bCs/>
          <w:sz w:val="24"/>
        </w:rPr>
        <w:t>的运营路线与经营公司，</w:t>
      </w:r>
      <w:r>
        <w:rPr>
          <w:rFonts w:hint="eastAsia" w:ascii="宋体" w:hAnsi="宋体"/>
          <w:bCs/>
          <w:sz w:val="24"/>
        </w:rPr>
        <w:t>在国内较早</w:t>
      </w:r>
      <w:r>
        <w:rPr>
          <w:rFonts w:ascii="宋体" w:hAnsi="宋体"/>
          <w:bCs/>
          <w:sz w:val="24"/>
        </w:rPr>
        <w:t>开始轨道交通建设。</w:t>
      </w:r>
      <w:r>
        <w:rPr>
          <w:rFonts w:hint="eastAsia" w:ascii="宋体" w:hAnsi="宋体"/>
          <w:bCs/>
          <w:sz w:val="24"/>
        </w:rPr>
        <w:t>校外实训基地软硬件设施都应齐备</w:t>
      </w:r>
      <w:r>
        <w:rPr>
          <w:rFonts w:ascii="宋体" w:hAnsi="宋体"/>
          <w:bCs/>
          <w:sz w:val="24"/>
        </w:rPr>
        <w:t>且完善，</w:t>
      </w:r>
      <w:r>
        <w:rPr>
          <w:rFonts w:hint="eastAsia" w:ascii="宋体" w:hAnsi="宋体"/>
          <w:bCs/>
          <w:sz w:val="24"/>
        </w:rPr>
        <w:t>硬件</w:t>
      </w:r>
      <w:r>
        <w:rPr>
          <w:rFonts w:ascii="宋体" w:hAnsi="宋体"/>
          <w:bCs/>
          <w:sz w:val="24"/>
        </w:rPr>
        <w:t>设施</w:t>
      </w:r>
      <w:r>
        <w:rPr>
          <w:rFonts w:hint="eastAsia" w:ascii="宋体" w:hAnsi="宋体"/>
          <w:bCs/>
          <w:sz w:val="24"/>
        </w:rPr>
        <w:t>包含了</w:t>
      </w:r>
      <w:r>
        <w:rPr>
          <w:rFonts w:ascii="宋体" w:hAnsi="宋体"/>
          <w:bCs/>
          <w:sz w:val="24"/>
        </w:rPr>
        <w:t>场地</w:t>
      </w:r>
      <w:r>
        <w:rPr>
          <w:rFonts w:hint="eastAsia" w:ascii="宋体" w:hAnsi="宋体"/>
          <w:bCs/>
          <w:sz w:val="24"/>
        </w:rPr>
        <w:t>、</w:t>
      </w:r>
      <w:r>
        <w:rPr>
          <w:rFonts w:ascii="宋体" w:hAnsi="宋体"/>
          <w:bCs/>
          <w:sz w:val="24"/>
        </w:rPr>
        <w:t>设施、设备耗材、实习师资等</w:t>
      </w:r>
      <w:r>
        <w:rPr>
          <w:rFonts w:hint="eastAsia" w:ascii="宋体" w:hAnsi="宋体"/>
          <w:bCs/>
          <w:sz w:val="24"/>
        </w:rPr>
        <w:t>。</w:t>
      </w:r>
      <w:r>
        <w:rPr>
          <w:rFonts w:ascii="宋体" w:hAnsi="宋体"/>
          <w:bCs/>
          <w:sz w:val="24"/>
        </w:rPr>
        <w:t>软件</w:t>
      </w:r>
      <w:r>
        <w:rPr>
          <w:rFonts w:hint="eastAsia" w:ascii="宋体" w:hAnsi="宋体"/>
          <w:bCs/>
          <w:sz w:val="24"/>
        </w:rPr>
        <w:t>设施包含</w:t>
      </w:r>
      <w:r>
        <w:rPr>
          <w:rFonts w:ascii="宋体" w:hAnsi="宋体"/>
          <w:bCs/>
          <w:sz w:val="24"/>
        </w:rPr>
        <w:t>实习教学和实习基地</w:t>
      </w:r>
      <w:r>
        <w:rPr>
          <w:rFonts w:hint="eastAsia" w:ascii="宋体" w:hAnsi="宋体"/>
          <w:bCs/>
          <w:sz w:val="24"/>
        </w:rPr>
        <w:t>的</w:t>
      </w:r>
      <w:r>
        <w:rPr>
          <w:rFonts w:ascii="宋体" w:hAnsi="宋体"/>
          <w:bCs/>
          <w:sz w:val="24"/>
        </w:rPr>
        <w:t>管理体制与机制</w:t>
      </w:r>
      <w:r>
        <w:rPr>
          <w:rFonts w:hint="eastAsia" w:ascii="宋体" w:hAnsi="宋体"/>
          <w:bCs/>
          <w:sz w:val="24"/>
        </w:rPr>
        <w:t>。此外</w:t>
      </w:r>
      <w:r>
        <w:rPr>
          <w:rFonts w:ascii="宋体" w:hAnsi="宋体"/>
          <w:bCs/>
          <w:sz w:val="24"/>
        </w:rPr>
        <w:t>校外实训基地应具备参观学习，</w:t>
      </w:r>
      <w:r>
        <w:rPr>
          <w:rFonts w:hint="eastAsia" w:ascii="宋体" w:hAnsi="宋体"/>
          <w:bCs/>
          <w:sz w:val="24"/>
        </w:rPr>
        <w:t>校企</w:t>
      </w:r>
      <w:r>
        <w:rPr>
          <w:rFonts w:ascii="宋体" w:hAnsi="宋体"/>
          <w:bCs/>
          <w:sz w:val="24"/>
        </w:rPr>
        <w:t>师资互聘</w:t>
      </w:r>
      <w:r>
        <w:rPr>
          <w:rFonts w:hint="eastAsia" w:ascii="宋体" w:hAnsi="宋体"/>
          <w:bCs/>
          <w:sz w:val="24"/>
        </w:rPr>
        <w:t>等条件</w:t>
      </w:r>
      <w:r>
        <w:rPr>
          <w:rFonts w:ascii="宋体" w:hAnsi="宋体"/>
          <w:bCs/>
          <w:sz w:val="24"/>
        </w:rPr>
        <w:t>。</w:t>
      </w:r>
      <w:r>
        <w:rPr>
          <w:rFonts w:hint="eastAsia" w:ascii="宋体" w:hAnsi="宋体"/>
          <w:bCs/>
          <w:sz w:val="24"/>
        </w:rPr>
        <w:t>校外实训基地具有一条运营线路，含车辆段（车场）、若干城轨车站和列车生产制造车间。</w:t>
      </w:r>
    </w:p>
    <w:p>
      <w:pPr>
        <w:snapToGrid w:val="0"/>
        <w:spacing w:line="440" w:lineRule="exact"/>
        <w:ind w:firstLine="480" w:firstLineChars="200"/>
        <w:rPr>
          <w:rFonts w:ascii="宋体" w:hAnsi="宋体"/>
          <w:bCs/>
          <w:sz w:val="24"/>
        </w:rPr>
      </w:pPr>
    </w:p>
    <w:tbl>
      <w:tblPr>
        <w:tblStyle w:val="2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565"/>
        <w:gridCol w:w="2400"/>
        <w:gridCol w:w="276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序号</w:t>
            </w:r>
          </w:p>
        </w:tc>
        <w:tc>
          <w:tcPr>
            <w:tcW w:w="2565" w:type="dxa"/>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企业类别</w:t>
            </w:r>
          </w:p>
        </w:tc>
        <w:tc>
          <w:tcPr>
            <w:tcW w:w="2400" w:type="dxa"/>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实习岗位</w:t>
            </w:r>
          </w:p>
        </w:tc>
        <w:tc>
          <w:tcPr>
            <w:tcW w:w="2762" w:type="dxa"/>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实习技能</w:t>
            </w:r>
          </w:p>
        </w:tc>
        <w:tc>
          <w:tcPr>
            <w:tcW w:w="1110" w:type="dxa"/>
            <w:shd w:val="clear" w:color="auto" w:fill="auto"/>
            <w:vAlign w:val="center"/>
          </w:tcPr>
          <w:p>
            <w:pPr>
              <w:widowControl/>
              <w:jc w:val="center"/>
              <w:rPr>
                <w:rFonts w:ascii="宋体" w:hAnsi="宋体" w:cs="Arial"/>
                <w:b/>
                <w:kern w:val="0"/>
                <w:szCs w:val="21"/>
              </w:rPr>
            </w:pPr>
            <w:r>
              <w:rPr>
                <w:rFonts w:ascii="宋体" w:hAnsi="宋体" w:cs="Arial"/>
                <w:b/>
                <w:kern w:val="0"/>
                <w:szCs w:val="21"/>
              </w:rPr>
              <w:t xml:space="preserve"> 学生数</w:t>
            </w:r>
          </w:p>
          <w:p>
            <w:pPr>
              <w:widowControl/>
              <w:jc w:val="center"/>
              <w:rPr>
                <w:rFonts w:ascii="宋体" w:hAnsi="宋体" w:cs="Arial"/>
                <w:b/>
                <w:kern w:val="0"/>
                <w:szCs w:val="21"/>
              </w:rPr>
            </w:pPr>
            <w:r>
              <w:rPr>
                <w:rFonts w:hint="eastAsia" w:ascii="宋体" w:hAnsi="宋体" w:cs="Arial"/>
                <w:b/>
                <w:kern w:val="0"/>
                <w:szCs w:val="21"/>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733" w:type="dxa"/>
            <w:shd w:val="clear" w:color="auto" w:fill="auto"/>
            <w:vAlign w:val="center"/>
          </w:tcPr>
          <w:p>
            <w:pPr>
              <w:widowControl/>
              <w:jc w:val="center"/>
              <w:rPr>
                <w:rFonts w:ascii="宋体" w:hAnsi="宋体" w:cs="Arial"/>
                <w:kern w:val="0"/>
                <w:szCs w:val="21"/>
              </w:rPr>
            </w:pPr>
            <w:r>
              <w:rPr>
                <w:rFonts w:ascii="宋体" w:hAnsi="宋体" w:cs="Arial"/>
                <w:kern w:val="0"/>
                <w:szCs w:val="21"/>
              </w:rPr>
              <w:t>1</w:t>
            </w:r>
          </w:p>
        </w:tc>
        <w:tc>
          <w:tcPr>
            <w:tcW w:w="2565" w:type="dxa"/>
            <w:shd w:val="clear" w:color="auto" w:fill="auto"/>
            <w:vAlign w:val="center"/>
          </w:tcPr>
          <w:p>
            <w:pPr>
              <w:widowControl/>
              <w:jc w:val="center"/>
              <w:rPr>
                <w:rFonts w:ascii="宋体" w:hAnsi="宋体" w:cs="Arial"/>
                <w:kern w:val="0"/>
                <w:szCs w:val="21"/>
              </w:rPr>
            </w:pPr>
            <w:r>
              <w:rPr>
                <w:rFonts w:hint="eastAsia" w:ascii="宋体" w:hAnsi="宋体" w:cs="Arial"/>
                <w:kern w:val="0"/>
                <w:szCs w:val="21"/>
              </w:rPr>
              <w:t>城轨运营管理类企业</w:t>
            </w:r>
          </w:p>
        </w:tc>
        <w:tc>
          <w:tcPr>
            <w:tcW w:w="2400" w:type="dxa"/>
            <w:shd w:val="clear" w:color="auto" w:fill="auto"/>
            <w:vAlign w:val="center"/>
          </w:tcPr>
          <w:p>
            <w:pPr>
              <w:widowControl/>
              <w:jc w:val="left"/>
              <w:rPr>
                <w:rFonts w:ascii="宋体" w:hAnsi="宋体" w:cs="Arial"/>
                <w:kern w:val="0"/>
                <w:szCs w:val="21"/>
              </w:rPr>
            </w:pPr>
            <w:r>
              <w:rPr>
                <w:rFonts w:hint="eastAsia" w:ascii="宋体" w:hAnsi="宋体" w:cs="Arial"/>
                <w:kern w:val="0"/>
                <w:szCs w:val="21"/>
              </w:rPr>
              <w:t>地铁车站电扶梯及屏蔽门系统检修员、低压配电及照明系统检修员、综合监控系统检修员、自动售检票系统检修员、环控与消控系统检修员岗位。</w:t>
            </w:r>
          </w:p>
        </w:tc>
        <w:tc>
          <w:tcPr>
            <w:tcW w:w="2762" w:type="dxa"/>
            <w:shd w:val="clear" w:color="auto" w:fill="auto"/>
            <w:vAlign w:val="center"/>
          </w:tcPr>
          <w:p>
            <w:pPr>
              <w:widowControl/>
              <w:jc w:val="left"/>
              <w:rPr>
                <w:rFonts w:ascii="宋体" w:hAnsi="宋体" w:cs="Arial"/>
                <w:kern w:val="0"/>
                <w:szCs w:val="21"/>
              </w:rPr>
            </w:pPr>
            <w:r>
              <w:rPr>
                <w:rFonts w:hint="eastAsia" w:ascii="宋体" w:hAnsi="宋体" w:cs="Arial"/>
                <w:kern w:val="0"/>
                <w:szCs w:val="21"/>
              </w:rPr>
              <w:t>负责地铁车站电梯与屏蔽门系统、低压配电及照明系统、综合监控系统、自动售检票系统、环控与消控系统运行监控及设备检修。</w:t>
            </w:r>
          </w:p>
        </w:tc>
        <w:tc>
          <w:tcPr>
            <w:tcW w:w="1110" w:type="dxa"/>
            <w:shd w:val="clear" w:color="auto" w:fill="auto"/>
            <w:vAlign w:val="center"/>
          </w:tcPr>
          <w:p>
            <w:pPr>
              <w:widowControl/>
              <w:jc w:val="center"/>
              <w:rPr>
                <w:rFonts w:ascii="宋体" w:hAnsi="宋体" w:cs="Arial"/>
                <w:kern w:val="0"/>
                <w:szCs w:val="21"/>
              </w:rPr>
            </w:pPr>
            <w:r>
              <w:rPr>
                <w:rFonts w:ascii="宋体" w:hAnsi="宋体" w:cs="Arial"/>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33" w:type="dxa"/>
            <w:shd w:val="clear" w:color="auto" w:fill="auto"/>
            <w:vAlign w:val="center"/>
          </w:tcPr>
          <w:p>
            <w:pPr>
              <w:widowControl/>
              <w:jc w:val="center"/>
              <w:rPr>
                <w:rFonts w:ascii="宋体" w:hAnsi="宋体" w:cs="Arial"/>
                <w:kern w:val="0"/>
                <w:szCs w:val="21"/>
              </w:rPr>
            </w:pPr>
            <w:r>
              <w:rPr>
                <w:rFonts w:ascii="宋体" w:hAnsi="宋体" w:cs="Arial"/>
                <w:kern w:val="0"/>
                <w:szCs w:val="21"/>
              </w:rPr>
              <w:t>2</w:t>
            </w:r>
          </w:p>
        </w:tc>
        <w:tc>
          <w:tcPr>
            <w:tcW w:w="2565" w:type="dxa"/>
            <w:shd w:val="clear" w:color="auto" w:fill="auto"/>
            <w:vAlign w:val="center"/>
          </w:tcPr>
          <w:p>
            <w:pPr>
              <w:jc w:val="center"/>
              <w:rPr>
                <w:rFonts w:ascii="宋体" w:hAnsi="宋体" w:cs="Arial"/>
                <w:kern w:val="0"/>
                <w:szCs w:val="21"/>
              </w:rPr>
            </w:pPr>
            <w:r>
              <w:rPr>
                <w:rFonts w:hint="eastAsia" w:ascii="宋体" w:hAnsi="宋体" w:cs="Arial"/>
                <w:kern w:val="0"/>
                <w:szCs w:val="21"/>
              </w:rPr>
              <w:t>城轨设备生产制造类企业</w:t>
            </w:r>
          </w:p>
        </w:tc>
        <w:tc>
          <w:tcPr>
            <w:tcW w:w="2400" w:type="dxa"/>
            <w:shd w:val="clear" w:color="auto" w:fill="auto"/>
            <w:vAlign w:val="center"/>
          </w:tcPr>
          <w:p>
            <w:pPr>
              <w:widowControl/>
              <w:jc w:val="left"/>
              <w:rPr>
                <w:rFonts w:ascii="宋体" w:hAnsi="宋体" w:cs="Arial"/>
                <w:kern w:val="0"/>
                <w:szCs w:val="21"/>
              </w:rPr>
            </w:pPr>
            <w:r>
              <w:rPr>
                <w:rFonts w:hint="eastAsia" w:ascii="宋体" w:hAnsi="宋体" w:cs="Arial"/>
                <w:kern w:val="0"/>
                <w:szCs w:val="21"/>
              </w:rPr>
              <w:t>城轨机电设备、列车生产与维保岗位。</w:t>
            </w:r>
          </w:p>
        </w:tc>
        <w:tc>
          <w:tcPr>
            <w:tcW w:w="2762" w:type="dxa"/>
            <w:shd w:val="clear" w:color="auto" w:fill="auto"/>
            <w:vAlign w:val="center"/>
          </w:tcPr>
          <w:p>
            <w:pPr>
              <w:widowControl/>
              <w:jc w:val="left"/>
              <w:rPr>
                <w:rFonts w:ascii="宋体" w:hAnsi="宋体" w:cs="Arial"/>
                <w:kern w:val="0"/>
                <w:szCs w:val="21"/>
              </w:rPr>
            </w:pPr>
            <w:r>
              <w:rPr>
                <w:rFonts w:hint="eastAsia" w:ascii="宋体" w:hAnsi="宋体" w:cs="Arial"/>
                <w:kern w:val="0"/>
                <w:szCs w:val="21"/>
              </w:rPr>
              <w:t>城轨机电设备、列车的组装、调试、维护。</w:t>
            </w:r>
          </w:p>
        </w:tc>
        <w:tc>
          <w:tcPr>
            <w:tcW w:w="1110" w:type="dxa"/>
            <w:shd w:val="clear" w:color="auto" w:fill="auto"/>
            <w:vAlign w:val="center"/>
          </w:tcPr>
          <w:p>
            <w:pPr>
              <w:widowControl/>
              <w:jc w:val="center"/>
              <w:rPr>
                <w:rFonts w:ascii="宋体" w:hAnsi="宋体" w:cs="Arial"/>
                <w:kern w:val="0"/>
                <w:szCs w:val="21"/>
              </w:rPr>
            </w:pPr>
            <w:r>
              <w:rPr>
                <w:rFonts w:ascii="宋体" w:hAnsi="宋体" w:cs="Arial"/>
                <w:kern w:val="0"/>
                <w:szCs w:val="21"/>
              </w:rPr>
              <w:t>50</w:t>
            </w:r>
          </w:p>
        </w:tc>
      </w:tr>
    </w:tbl>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（三）教学资源</w:t>
      </w:r>
    </w:p>
    <w:p>
      <w:pPr>
        <w:snapToGrid w:val="0"/>
        <w:spacing w:line="440" w:lineRule="exact"/>
        <w:ind w:firstLine="480" w:firstLineChars="200"/>
        <w:rPr>
          <w:rFonts w:ascii="宋体" w:hAnsi="宋体"/>
          <w:bCs/>
          <w:sz w:val="24"/>
        </w:rPr>
      </w:pPr>
      <w:r>
        <w:rPr>
          <w:rFonts w:hint="eastAsia" w:ascii="宋体" w:hAnsi="宋体"/>
          <w:bCs/>
          <w:sz w:val="24"/>
        </w:rPr>
        <w:t>本专业包括能够满足学生专业学习、教师专业教学研究和教学实施所需的各类教材、图书文献及数字教学资源等。</w:t>
      </w:r>
    </w:p>
    <w:p>
      <w:pPr>
        <w:snapToGrid w:val="0"/>
        <w:spacing w:line="440" w:lineRule="exact"/>
        <w:ind w:firstLine="482" w:firstLineChars="200"/>
        <w:rPr>
          <w:rFonts w:ascii="宋体" w:hAnsi="宋体"/>
          <w:b/>
          <w:bCs/>
          <w:sz w:val="24"/>
        </w:rPr>
      </w:pPr>
      <w:r>
        <w:rPr>
          <w:rFonts w:ascii="宋体" w:hAnsi="宋体"/>
          <w:b/>
          <w:bCs/>
          <w:sz w:val="24"/>
        </w:rPr>
        <w:t>1．教材选用基本要求</w:t>
      </w:r>
    </w:p>
    <w:p>
      <w:pPr>
        <w:snapToGrid w:val="0"/>
        <w:spacing w:line="440" w:lineRule="exact"/>
        <w:ind w:firstLine="480" w:firstLineChars="200"/>
        <w:rPr>
          <w:rFonts w:ascii="宋体" w:hAnsi="宋体"/>
          <w:bCs/>
          <w:sz w:val="24"/>
        </w:rPr>
      </w:pPr>
      <w:r>
        <w:rPr>
          <w:rFonts w:hint="eastAsia" w:ascii="宋体" w:hAnsi="宋体"/>
          <w:bCs/>
          <w:sz w:val="24"/>
        </w:rPr>
        <w:t>按照国家规定选用优质教材，禁止不合格的教材进入课堂。按照学校教材管理规定，选择国家规划教材或省重点教材，自选、自编教材经学校教学委员会立项审批审核通过后使用。鼓励教师结合我校学生实际能力水平，与行业专家等共同编写、出版教材，相关课程优先选用我校教师自编教材。教材重点关注新形态教材的使用，以及新型活页式教材、工作手册式教材的开发。备有其他出版社优秀教材和本科教材作为教参。</w:t>
      </w:r>
    </w:p>
    <w:p>
      <w:pPr>
        <w:snapToGrid w:val="0"/>
        <w:spacing w:line="440" w:lineRule="exact"/>
        <w:ind w:firstLine="482" w:firstLineChars="200"/>
        <w:rPr>
          <w:rFonts w:ascii="宋体" w:hAnsi="宋体"/>
          <w:b/>
          <w:bCs/>
          <w:sz w:val="24"/>
        </w:rPr>
      </w:pPr>
      <w:r>
        <w:rPr>
          <w:rFonts w:ascii="宋体" w:hAnsi="宋体"/>
          <w:b/>
          <w:bCs/>
          <w:sz w:val="24"/>
        </w:rPr>
        <w:t>2．图书文献配备基本要求</w:t>
      </w:r>
    </w:p>
    <w:p>
      <w:pPr>
        <w:snapToGrid w:val="0"/>
        <w:spacing w:line="440" w:lineRule="exact"/>
        <w:ind w:firstLine="480" w:firstLineChars="200"/>
        <w:rPr>
          <w:rFonts w:ascii="宋体" w:hAnsi="宋体"/>
          <w:bCs/>
          <w:sz w:val="24"/>
        </w:rPr>
      </w:pPr>
      <w:r>
        <w:rPr>
          <w:rFonts w:hint="eastAsia" w:ascii="宋体" w:hAnsi="宋体"/>
          <w:bCs/>
          <w:sz w:val="24"/>
        </w:rPr>
        <w:t>学校图书文献配备能基本满足人才培养、专业建设、教科研等工作需要，方便师生查询、借阅。专业类图书文献主要包括：城市轨道交通行业政策法规、行业标准、技术规范以及相关专业技术手册等；城市轨道交通机电技术专业类图书和实务案例类图书若干套，</w:t>
      </w:r>
      <w:r>
        <w:rPr>
          <w:rFonts w:ascii="宋体" w:hAnsi="宋体"/>
          <w:bCs/>
          <w:sz w:val="24"/>
        </w:rPr>
        <w:t>2种以上城市轨道交通机电技术类专业学术期刊。</w:t>
      </w:r>
    </w:p>
    <w:p>
      <w:pPr>
        <w:snapToGrid w:val="0"/>
        <w:spacing w:line="440" w:lineRule="exact"/>
        <w:ind w:firstLine="482" w:firstLineChars="200"/>
        <w:rPr>
          <w:rFonts w:ascii="宋体" w:hAnsi="宋体"/>
          <w:b/>
          <w:bCs/>
          <w:sz w:val="24"/>
        </w:rPr>
      </w:pPr>
      <w:r>
        <w:rPr>
          <w:rFonts w:ascii="宋体" w:hAnsi="宋体"/>
          <w:b/>
          <w:bCs/>
          <w:sz w:val="24"/>
        </w:rPr>
        <w:t>3．数字教学资源配置基本要求</w:t>
      </w:r>
    </w:p>
    <w:p>
      <w:pPr>
        <w:snapToGrid w:val="0"/>
        <w:spacing w:line="440" w:lineRule="exact"/>
        <w:ind w:firstLine="480" w:firstLineChars="200"/>
        <w:rPr>
          <w:rFonts w:ascii="宋体" w:hAnsi="宋体"/>
          <w:bCs/>
          <w:sz w:val="24"/>
        </w:rPr>
      </w:pPr>
      <w:r>
        <w:rPr>
          <w:rFonts w:hint="eastAsia" w:ascii="宋体" w:hAnsi="宋体"/>
          <w:bCs/>
          <w:sz w:val="24"/>
        </w:rPr>
        <w:t>本专业建设、配备与专业有关的音视频素材、教学课件、数字化教学案例库、虚拟仿真软件、数字教材等专业教学资源库，种类丰富、形式多样、使用便捷、动态更新，能满足教学要求。</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（四）教学方法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依据专业培养目标、课程教学要求，结合课程教学目标和课程特点以及有关学情和教学资源，选择合适的最优化的教学法。综合考虑教学效果和教学可操作性等因素，多数课程采用讲授法、混合教学法、分组讨论法、案例教学法、任务驱动法、现场教学法等多种形式。坚持学中做、做中学，倡导因材施教、因需施教，鼓励创新教学方法和策略。根据内容特点和学生特点，以学生为中心，合理选择教学方法，教师起引导作用。学校鼓励信息技术在教育教学中的应用，通过改进教学方法，达成预期教学目标。</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（五）学习评价</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兼顾认知、技能、素养等方面，采取观察、笔试、技能操作、职业技能竞赛、职业资格鉴定等评价方式，建立多元化考核、评价方式，注重过程性评价。</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（六）质量管理</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1.学校和</w:t>
      </w:r>
      <w:r>
        <w:rPr>
          <w:rFonts w:hint="eastAsia" w:ascii="宋体" w:hAnsi="宋体"/>
          <w:bCs/>
          <w:sz w:val="24"/>
          <w:lang w:eastAsia="zh-CN"/>
        </w:rPr>
        <w:t>系部</w:t>
      </w:r>
      <w:r>
        <w:rPr>
          <w:rFonts w:hint="eastAsia" w:ascii="宋体" w:hAnsi="宋体"/>
          <w:bCs/>
          <w:sz w:val="24"/>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2.学校和</w:t>
      </w:r>
      <w:r>
        <w:rPr>
          <w:rFonts w:hint="eastAsia" w:ascii="宋体" w:hAnsi="宋体"/>
          <w:bCs/>
          <w:sz w:val="24"/>
          <w:lang w:eastAsia="zh-CN"/>
        </w:rPr>
        <w:t>系部</w:t>
      </w:r>
      <w:r>
        <w:rPr>
          <w:rFonts w:hint="eastAsia" w:ascii="宋体" w:hAnsi="宋体"/>
          <w:bCs/>
          <w:sz w:val="24"/>
        </w:rPr>
        <w:t>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3.学校建立毕业生跟踪反馈机制与社会评价机制，并对生源情况、在校生学业水平、毕业生就业情况等进行分析，定期评价人才培养质量和培养目标达成情况。</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4.专业充分利用评价分析结果有效改进专业教学，充分把信息技术融合在教学过程中，并通过城轨创新教学团队、城轨专业创新班和城轨专业社团建设、产教融合、现代学徒制、订单班培养等新型举措，持续提高人才培养质量。</w:t>
      </w:r>
    </w:p>
    <w:p>
      <w:pPr>
        <w:keepNext/>
        <w:keepLines/>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rPr>
        <w:t>九、毕业</w:t>
      </w:r>
      <w:bookmarkEnd w:id="15"/>
      <w:bookmarkEnd w:id="16"/>
      <w:bookmarkEnd w:id="17"/>
      <w:r>
        <w:rPr>
          <w:rFonts w:hint="eastAsia" w:ascii="宋体" w:hAnsi="宋体" w:cs="宋体"/>
          <w:b/>
          <w:bCs/>
          <w:kern w:val="44"/>
          <w:sz w:val="28"/>
          <w:szCs w:val="28"/>
        </w:rPr>
        <w:t>要求</w:t>
      </w:r>
    </w:p>
    <w:p>
      <w:pPr>
        <w:keepNext/>
        <w:keepLines/>
        <w:snapToGrid w:val="0"/>
        <w:spacing w:before="156" w:beforeLines="50" w:after="156" w:afterLines="50" w:line="440" w:lineRule="exact"/>
        <w:ind w:firstLine="241" w:firstLineChars="100"/>
        <w:outlineLvl w:val="2"/>
        <w:rPr>
          <w:rFonts w:ascii="宋体"/>
          <w:b/>
          <w:bCs/>
          <w:sz w:val="24"/>
        </w:rPr>
      </w:pPr>
      <w:bookmarkStart w:id="18" w:name="_Toc448835391"/>
      <w:r>
        <w:rPr>
          <w:rFonts w:hint="eastAsia" w:ascii="宋体" w:hAnsi="宋体"/>
          <w:b/>
          <w:bCs/>
          <w:sz w:val="24"/>
        </w:rPr>
        <w:t>（一）</w:t>
      </w:r>
      <w:bookmarkEnd w:id="18"/>
      <w:r>
        <w:rPr>
          <w:rFonts w:hint="eastAsia" w:ascii="宋体" w:hAnsi="宋体"/>
          <w:b/>
          <w:bCs/>
          <w:sz w:val="24"/>
        </w:rPr>
        <w:t>学时学分要求</w:t>
      </w:r>
    </w:p>
    <w:p>
      <w:pPr>
        <w:snapToGrid w:val="0"/>
        <w:spacing w:line="440" w:lineRule="exact"/>
        <w:ind w:firstLine="480" w:firstLineChars="200"/>
        <w:rPr>
          <w:rFonts w:hint="eastAsia" w:ascii="宋体"/>
          <w:sz w:val="24"/>
        </w:rPr>
      </w:pPr>
      <w:r>
        <w:rPr>
          <w:rFonts w:hint="eastAsia" w:ascii="宋体" w:hAnsi="宋体"/>
          <w:bCs/>
          <w:sz w:val="24"/>
        </w:rPr>
        <w:t>中职转入考核要求</w:t>
      </w:r>
      <w:r>
        <w:rPr>
          <w:rFonts w:hint="eastAsia" w:ascii="宋体"/>
          <w:bCs/>
          <w:sz w:val="24"/>
        </w:rPr>
        <w:t>:</w:t>
      </w:r>
      <w:r>
        <w:rPr>
          <w:rFonts w:hint="eastAsia" w:ascii="宋体"/>
          <w:sz w:val="24"/>
        </w:rPr>
        <w:t>符合绍兴职业技术学院《中高职一体化五年制职业教育学生转入考核办法》。</w:t>
      </w:r>
    </w:p>
    <w:tbl>
      <w:tblPr>
        <w:tblStyle w:val="24"/>
        <w:tblW w:w="8558" w:type="dxa"/>
        <w:jc w:val="center"/>
        <w:shd w:val="clear" w:color="auto" w:fill="auto"/>
        <w:tblLayout w:type="fixed"/>
        <w:tblCellMar>
          <w:top w:w="0" w:type="dxa"/>
          <w:left w:w="108" w:type="dxa"/>
          <w:bottom w:w="0" w:type="dxa"/>
          <w:right w:w="108" w:type="dxa"/>
        </w:tblCellMar>
      </w:tblPr>
      <w:tblGrid>
        <w:gridCol w:w="1702"/>
        <w:gridCol w:w="1372"/>
        <w:gridCol w:w="1370"/>
        <w:gridCol w:w="1372"/>
        <w:gridCol w:w="1370"/>
        <w:gridCol w:w="1372"/>
      </w:tblGrid>
      <w:tr>
        <w:tblPrEx>
          <w:shd w:val="clear" w:color="auto" w:fill="auto"/>
          <w:tblCellMar>
            <w:top w:w="0" w:type="dxa"/>
            <w:left w:w="108" w:type="dxa"/>
            <w:bottom w:w="0" w:type="dxa"/>
            <w:right w:w="108" w:type="dxa"/>
          </w:tblCellMar>
        </w:tblPrEx>
        <w:trPr>
          <w:trHeight w:val="453" w:hRule="atLeast"/>
          <w:jc w:val="center"/>
        </w:trPr>
        <w:tc>
          <w:tcPr>
            <w:tcW w:w="3074" w:type="dxa"/>
            <w:gridSpan w:val="2"/>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2742"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毕业学时要求</w:t>
            </w:r>
          </w:p>
        </w:tc>
        <w:tc>
          <w:tcPr>
            <w:tcW w:w="2742"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毕业学分要求</w:t>
            </w:r>
          </w:p>
        </w:tc>
      </w:tr>
      <w:tr>
        <w:tblPrEx>
          <w:tblCellMar>
            <w:top w:w="0" w:type="dxa"/>
            <w:left w:w="108" w:type="dxa"/>
            <w:bottom w:w="0" w:type="dxa"/>
            <w:right w:w="108" w:type="dxa"/>
          </w:tblCellMar>
        </w:tblPrEx>
        <w:trPr>
          <w:trHeight w:val="412" w:hRule="atLeast"/>
          <w:jc w:val="center"/>
        </w:trPr>
        <w:tc>
          <w:tcPr>
            <w:tcW w:w="3074"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学时数</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比例</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学分数</w:t>
            </w:r>
          </w:p>
        </w:tc>
        <w:tc>
          <w:tcPr>
            <w:tcW w:w="137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比例</w:t>
            </w:r>
          </w:p>
        </w:tc>
      </w:tr>
      <w:tr>
        <w:tblPrEx>
          <w:tblCellMar>
            <w:top w:w="0" w:type="dxa"/>
            <w:left w:w="108" w:type="dxa"/>
            <w:bottom w:w="0" w:type="dxa"/>
            <w:right w:w="108" w:type="dxa"/>
          </w:tblCellMar>
        </w:tblPrEx>
        <w:trPr>
          <w:trHeight w:val="462" w:hRule="atLeast"/>
          <w:jc w:val="center"/>
        </w:trPr>
        <w:tc>
          <w:tcPr>
            <w:tcW w:w="17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公共基础课程</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37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w:t>
            </w:r>
          </w:p>
        </w:tc>
      </w:tr>
      <w:tr>
        <w:tblPrEx>
          <w:tblCellMar>
            <w:top w:w="0" w:type="dxa"/>
            <w:left w:w="108" w:type="dxa"/>
            <w:bottom w:w="0" w:type="dxa"/>
            <w:right w:w="108" w:type="dxa"/>
          </w:tblCellMar>
        </w:tblPrEx>
        <w:trPr>
          <w:trHeight w:val="412" w:hRule="atLeast"/>
          <w:jc w:val="center"/>
        </w:trPr>
        <w:tc>
          <w:tcPr>
            <w:tcW w:w="170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专业（技能）课程</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融通课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7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r>
      <w:tr>
        <w:tblPrEx>
          <w:tblCellMar>
            <w:top w:w="0" w:type="dxa"/>
            <w:left w:w="108" w:type="dxa"/>
            <w:bottom w:w="0" w:type="dxa"/>
            <w:right w:w="108" w:type="dxa"/>
          </w:tblCellMar>
        </w:tblPrEx>
        <w:trPr>
          <w:trHeight w:val="412" w:hRule="atLeast"/>
          <w:jc w:val="center"/>
        </w:trPr>
        <w:tc>
          <w:tcPr>
            <w:tcW w:w="170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7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w:t>
            </w:r>
          </w:p>
        </w:tc>
      </w:tr>
      <w:tr>
        <w:tblPrEx>
          <w:tblCellMar>
            <w:top w:w="0" w:type="dxa"/>
            <w:left w:w="108" w:type="dxa"/>
            <w:bottom w:w="0" w:type="dxa"/>
            <w:right w:w="108" w:type="dxa"/>
          </w:tblCellMar>
        </w:tblPrEx>
        <w:trPr>
          <w:trHeight w:val="412" w:hRule="atLeast"/>
          <w:jc w:val="center"/>
        </w:trPr>
        <w:tc>
          <w:tcPr>
            <w:tcW w:w="170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拓展课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7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11.67%</w:t>
            </w:r>
          </w:p>
        </w:tc>
      </w:tr>
      <w:tr>
        <w:tblPrEx>
          <w:tblCellMar>
            <w:top w:w="0" w:type="dxa"/>
            <w:left w:w="108" w:type="dxa"/>
            <w:bottom w:w="0" w:type="dxa"/>
            <w:right w:w="108" w:type="dxa"/>
          </w:tblCellMar>
        </w:tblPrEx>
        <w:trPr>
          <w:trHeight w:val="517" w:hRule="atLeast"/>
          <w:jc w:val="center"/>
        </w:trPr>
        <w:tc>
          <w:tcPr>
            <w:tcW w:w="3074"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37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372"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bl>
    <w:p>
      <w:pPr>
        <w:snapToGrid w:val="0"/>
        <w:spacing w:line="440" w:lineRule="exact"/>
        <w:ind w:firstLine="480" w:firstLineChars="200"/>
        <w:rPr>
          <w:rFonts w:hint="eastAsia" w:ascii="宋体"/>
          <w:sz w:val="24"/>
        </w:rPr>
      </w:pPr>
    </w:p>
    <w:p>
      <w:pPr>
        <w:keepNext/>
        <w:keepLines/>
        <w:snapToGrid w:val="0"/>
        <w:spacing w:before="156" w:beforeLines="50" w:after="156" w:afterLines="50" w:line="440" w:lineRule="exact"/>
        <w:ind w:firstLine="419" w:firstLineChars="174"/>
        <w:outlineLvl w:val="2"/>
        <w:rPr>
          <w:rFonts w:ascii="宋体" w:cs="宋体"/>
          <w:b/>
          <w:bCs/>
          <w:kern w:val="44"/>
          <w:sz w:val="24"/>
        </w:rPr>
      </w:pPr>
      <w:r>
        <w:rPr>
          <w:rFonts w:hint="eastAsia" w:ascii="宋体" w:hAnsi="宋体" w:cs="宋体"/>
          <w:b/>
          <w:bCs/>
          <w:kern w:val="44"/>
          <w:sz w:val="24"/>
        </w:rPr>
        <w:t>（二）证书要求</w:t>
      </w:r>
    </w:p>
    <w:p>
      <w:pPr>
        <w:snapToGrid w:val="0"/>
        <w:spacing w:line="440" w:lineRule="exact"/>
        <w:ind w:firstLine="480" w:firstLineChars="200"/>
        <w:rPr>
          <w:rFonts w:ascii="宋体" w:hAnsi="宋体"/>
          <w:bCs/>
          <w:sz w:val="24"/>
        </w:rPr>
      </w:pPr>
      <w:r>
        <w:rPr>
          <w:rFonts w:hint="eastAsia" w:ascii="宋体" w:hAnsi="宋体"/>
          <w:bCs/>
          <w:sz w:val="24"/>
        </w:rPr>
        <w:t>必须至少取得中级电工证书和低压电工作业证方可毕业。鼓励学生选考下列证书：高级电工证书、中级二维</w:t>
      </w:r>
      <w:r>
        <w:rPr>
          <w:rFonts w:ascii="宋体" w:hAnsi="宋体"/>
          <w:bCs/>
          <w:sz w:val="24"/>
        </w:rPr>
        <w:t>CAD绘图师、建(</w:t>
      </w:r>
      <w:r>
        <w:rPr>
          <w:rFonts w:hint="eastAsia" w:ascii="宋体" w:hAnsi="宋体"/>
          <w:bCs/>
          <w:sz w:val="24"/>
        </w:rPr>
        <w:t>构</w:t>
      </w:r>
      <w:r>
        <w:rPr>
          <w:rFonts w:ascii="宋体" w:hAnsi="宋体"/>
          <w:bCs/>
          <w:sz w:val="24"/>
        </w:rPr>
        <w:t>)</w:t>
      </w:r>
      <w:r>
        <w:rPr>
          <w:rFonts w:hint="eastAsia" w:ascii="宋体" w:hAnsi="宋体"/>
          <w:bCs/>
          <w:sz w:val="24"/>
        </w:rPr>
        <w:t>筑物消防员职业资格等级证书（初级）、特种设备作业人员证（电梯安全管理员）等相应职业资格（或行业）与职业技能证书。</w:t>
      </w:r>
    </w:p>
    <w:tbl>
      <w:tblPr>
        <w:tblStyle w:val="24"/>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347"/>
        <w:gridCol w:w="1796"/>
        <w:gridCol w:w="1105"/>
        <w:gridCol w:w="891"/>
        <w:gridCol w:w="1315"/>
        <w:gridCol w:w="72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551" w:type="dxa"/>
            <w:vMerge w:val="restart"/>
            <w:vAlign w:val="center"/>
          </w:tcPr>
          <w:p>
            <w:pPr>
              <w:snapToGrid w:val="0"/>
              <w:spacing w:line="276" w:lineRule="auto"/>
              <w:jc w:val="center"/>
              <w:rPr>
                <w:rFonts w:ascii="宋体"/>
                <w:b/>
                <w:sz w:val="20"/>
                <w:szCs w:val="20"/>
              </w:rPr>
            </w:pPr>
            <w:r>
              <w:rPr>
                <w:rFonts w:hint="eastAsia" w:ascii="宋体" w:hAnsi="宋体"/>
                <w:b/>
                <w:sz w:val="20"/>
                <w:szCs w:val="20"/>
              </w:rPr>
              <w:t>序号</w:t>
            </w:r>
          </w:p>
        </w:tc>
        <w:tc>
          <w:tcPr>
            <w:tcW w:w="2347" w:type="dxa"/>
            <w:vMerge w:val="restart"/>
            <w:vAlign w:val="center"/>
          </w:tcPr>
          <w:p>
            <w:pPr>
              <w:snapToGrid w:val="0"/>
              <w:spacing w:line="276" w:lineRule="auto"/>
              <w:jc w:val="center"/>
              <w:rPr>
                <w:rFonts w:ascii="宋体" w:hAnsi="宋体"/>
                <w:b/>
                <w:sz w:val="20"/>
                <w:szCs w:val="20"/>
              </w:rPr>
            </w:pPr>
            <w:r>
              <w:rPr>
                <w:rFonts w:hint="eastAsia" w:ascii="宋体" w:hAnsi="宋体"/>
                <w:b/>
                <w:sz w:val="20"/>
                <w:szCs w:val="20"/>
              </w:rPr>
              <w:t>职业资格（或行业）与</w:t>
            </w:r>
          </w:p>
          <w:p>
            <w:pPr>
              <w:snapToGrid w:val="0"/>
              <w:spacing w:line="276" w:lineRule="auto"/>
              <w:jc w:val="center"/>
              <w:rPr>
                <w:rFonts w:ascii="宋体"/>
                <w:b/>
                <w:sz w:val="20"/>
                <w:szCs w:val="20"/>
              </w:rPr>
            </w:pPr>
            <w:r>
              <w:rPr>
                <w:rFonts w:hint="eastAsia" w:ascii="宋体" w:hAnsi="宋体"/>
                <w:b/>
                <w:sz w:val="20"/>
                <w:szCs w:val="20"/>
              </w:rPr>
              <w:t>职业技能证书</w:t>
            </w:r>
          </w:p>
        </w:tc>
        <w:tc>
          <w:tcPr>
            <w:tcW w:w="1796" w:type="dxa"/>
            <w:vMerge w:val="restart"/>
            <w:vAlign w:val="center"/>
          </w:tcPr>
          <w:p>
            <w:pPr>
              <w:snapToGrid w:val="0"/>
              <w:spacing w:line="276" w:lineRule="auto"/>
              <w:jc w:val="center"/>
              <w:rPr>
                <w:rFonts w:ascii="宋体"/>
                <w:b/>
                <w:sz w:val="20"/>
                <w:szCs w:val="20"/>
              </w:rPr>
            </w:pPr>
            <w:r>
              <w:rPr>
                <w:rFonts w:hint="eastAsia" w:ascii="宋体" w:hAnsi="宋体"/>
                <w:b/>
                <w:sz w:val="20"/>
                <w:szCs w:val="20"/>
              </w:rPr>
              <w:t>颁证机构</w:t>
            </w:r>
          </w:p>
        </w:tc>
        <w:tc>
          <w:tcPr>
            <w:tcW w:w="1105" w:type="dxa"/>
            <w:vMerge w:val="restart"/>
            <w:vAlign w:val="center"/>
          </w:tcPr>
          <w:p>
            <w:pPr>
              <w:snapToGrid w:val="0"/>
              <w:spacing w:line="276" w:lineRule="auto"/>
              <w:jc w:val="center"/>
              <w:rPr>
                <w:rFonts w:ascii="宋体"/>
                <w:b/>
                <w:sz w:val="20"/>
                <w:szCs w:val="20"/>
              </w:rPr>
            </w:pPr>
            <w:r>
              <w:rPr>
                <w:rFonts w:hint="eastAsia" w:ascii="宋体" w:hAnsi="宋体"/>
                <w:b/>
                <w:sz w:val="20"/>
                <w:szCs w:val="20"/>
              </w:rPr>
              <w:t>等级要求</w:t>
            </w:r>
          </w:p>
        </w:tc>
        <w:tc>
          <w:tcPr>
            <w:tcW w:w="891" w:type="dxa"/>
            <w:vMerge w:val="restart"/>
            <w:vAlign w:val="center"/>
          </w:tcPr>
          <w:p>
            <w:pPr>
              <w:snapToGrid w:val="0"/>
              <w:spacing w:line="276" w:lineRule="auto"/>
              <w:jc w:val="center"/>
              <w:rPr>
                <w:rFonts w:ascii="宋体" w:hAnsi="宋体"/>
                <w:b/>
                <w:sz w:val="20"/>
                <w:szCs w:val="20"/>
              </w:rPr>
            </w:pPr>
            <w:r>
              <w:rPr>
                <w:rFonts w:hint="eastAsia" w:ascii="宋体" w:hAnsi="宋体"/>
                <w:b/>
                <w:sz w:val="20"/>
                <w:szCs w:val="20"/>
              </w:rPr>
              <w:t>可认定学分数</w:t>
            </w:r>
          </w:p>
        </w:tc>
        <w:tc>
          <w:tcPr>
            <w:tcW w:w="1315" w:type="dxa"/>
            <w:vMerge w:val="restart"/>
            <w:vAlign w:val="center"/>
          </w:tcPr>
          <w:p>
            <w:pPr>
              <w:snapToGrid w:val="0"/>
              <w:spacing w:line="276" w:lineRule="auto"/>
              <w:jc w:val="center"/>
              <w:rPr>
                <w:rFonts w:ascii="宋体" w:hAnsi="宋体"/>
                <w:b/>
                <w:sz w:val="20"/>
                <w:szCs w:val="20"/>
              </w:rPr>
            </w:pPr>
            <w:r>
              <w:rPr>
                <w:rFonts w:hint="eastAsia" w:ascii="宋体" w:hAnsi="宋体"/>
                <w:b/>
                <w:sz w:val="20"/>
                <w:szCs w:val="20"/>
              </w:rPr>
              <w:t>可替代课程名称</w:t>
            </w:r>
          </w:p>
        </w:tc>
        <w:tc>
          <w:tcPr>
            <w:tcW w:w="1450" w:type="dxa"/>
            <w:gridSpan w:val="2"/>
            <w:vAlign w:val="center"/>
          </w:tcPr>
          <w:p>
            <w:pPr>
              <w:snapToGrid w:val="0"/>
              <w:spacing w:line="276" w:lineRule="auto"/>
              <w:jc w:val="center"/>
              <w:rPr>
                <w:rFonts w:ascii="宋体"/>
                <w:b/>
                <w:sz w:val="20"/>
                <w:szCs w:val="20"/>
              </w:rPr>
            </w:pPr>
            <w:r>
              <w:rPr>
                <w:rFonts w:hint="eastAsia" w:ascii="宋体" w:hAnsi="宋体"/>
                <w:b/>
                <w:sz w:val="20"/>
                <w:szCs w:val="20"/>
              </w:rPr>
              <w:t>获证要求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551" w:type="dxa"/>
            <w:vMerge w:val="continue"/>
            <w:vAlign w:val="center"/>
          </w:tcPr>
          <w:p>
            <w:pPr>
              <w:snapToGrid w:val="0"/>
              <w:spacing w:line="276" w:lineRule="auto"/>
              <w:jc w:val="center"/>
              <w:rPr>
                <w:rFonts w:ascii="宋体"/>
                <w:b/>
                <w:sz w:val="20"/>
                <w:szCs w:val="20"/>
              </w:rPr>
            </w:pPr>
          </w:p>
        </w:tc>
        <w:tc>
          <w:tcPr>
            <w:tcW w:w="2347" w:type="dxa"/>
            <w:vMerge w:val="continue"/>
            <w:vAlign w:val="center"/>
          </w:tcPr>
          <w:p>
            <w:pPr>
              <w:snapToGrid w:val="0"/>
              <w:spacing w:line="276" w:lineRule="auto"/>
              <w:jc w:val="center"/>
              <w:rPr>
                <w:rFonts w:ascii="宋体"/>
                <w:b/>
                <w:sz w:val="20"/>
                <w:szCs w:val="20"/>
              </w:rPr>
            </w:pPr>
          </w:p>
        </w:tc>
        <w:tc>
          <w:tcPr>
            <w:tcW w:w="1796" w:type="dxa"/>
            <w:vMerge w:val="continue"/>
            <w:vAlign w:val="center"/>
          </w:tcPr>
          <w:p>
            <w:pPr>
              <w:snapToGrid w:val="0"/>
              <w:spacing w:line="276" w:lineRule="auto"/>
              <w:jc w:val="center"/>
              <w:rPr>
                <w:rFonts w:ascii="宋体"/>
                <w:b/>
                <w:sz w:val="20"/>
                <w:szCs w:val="20"/>
              </w:rPr>
            </w:pPr>
          </w:p>
        </w:tc>
        <w:tc>
          <w:tcPr>
            <w:tcW w:w="1105" w:type="dxa"/>
            <w:vMerge w:val="continue"/>
            <w:vAlign w:val="center"/>
          </w:tcPr>
          <w:p>
            <w:pPr>
              <w:snapToGrid w:val="0"/>
              <w:spacing w:line="276" w:lineRule="auto"/>
              <w:jc w:val="center"/>
              <w:rPr>
                <w:rFonts w:ascii="宋体"/>
                <w:b/>
                <w:sz w:val="20"/>
                <w:szCs w:val="20"/>
              </w:rPr>
            </w:pPr>
          </w:p>
        </w:tc>
        <w:tc>
          <w:tcPr>
            <w:tcW w:w="891" w:type="dxa"/>
            <w:vMerge w:val="continue"/>
            <w:vAlign w:val="center"/>
          </w:tcPr>
          <w:p>
            <w:pPr>
              <w:snapToGrid w:val="0"/>
              <w:spacing w:line="276" w:lineRule="auto"/>
              <w:jc w:val="center"/>
              <w:rPr>
                <w:rFonts w:ascii="宋体" w:hAnsi="宋体"/>
                <w:b/>
                <w:sz w:val="20"/>
                <w:szCs w:val="20"/>
              </w:rPr>
            </w:pPr>
          </w:p>
        </w:tc>
        <w:tc>
          <w:tcPr>
            <w:tcW w:w="1315" w:type="dxa"/>
            <w:vMerge w:val="continue"/>
          </w:tcPr>
          <w:p>
            <w:pPr>
              <w:snapToGrid w:val="0"/>
              <w:spacing w:line="276" w:lineRule="auto"/>
              <w:jc w:val="center"/>
              <w:rPr>
                <w:rFonts w:ascii="宋体" w:hAnsi="宋体"/>
                <w:b/>
                <w:sz w:val="20"/>
                <w:szCs w:val="20"/>
              </w:rPr>
            </w:pPr>
          </w:p>
        </w:tc>
        <w:tc>
          <w:tcPr>
            <w:tcW w:w="723" w:type="dxa"/>
            <w:vAlign w:val="center"/>
          </w:tcPr>
          <w:p>
            <w:pPr>
              <w:snapToGrid w:val="0"/>
              <w:spacing w:line="276" w:lineRule="auto"/>
              <w:jc w:val="center"/>
              <w:rPr>
                <w:rFonts w:ascii="宋体"/>
                <w:b/>
                <w:sz w:val="20"/>
                <w:szCs w:val="20"/>
              </w:rPr>
            </w:pPr>
            <w:r>
              <w:rPr>
                <w:rFonts w:hint="eastAsia" w:ascii="宋体" w:hAnsi="宋体"/>
                <w:b/>
                <w:sz w:val="20"/>
                <w:szCs w:val="20"/>
              </w:rPr>
              <w:t>必考</w:t>
            </w:r>
          </w:p>
        </w:tc>
        <w:tc>
          <w:tcPr>
            <w:tcW w:w="727" w:type="dxa"/>
            <w:vAlign w:val="center"/>
          </w:tcPr>
          <w:p>
            <w:pPr>
              <w:snapToGrid w:val="0"/>
              <w:spacing w:line="276" w:lineRule="auto"/>
              <w:jc w:val="center"/>
              <w:rPr>
                <w:rFonts w:ascii="宋体"/>
                <w:b/>
                <w:sz w:val="20"/>
                <w:szCs w:val="20"/>
              </w:rPr>
            </w:pPr>
            <w:r>
              <w:rPr>
                <w:rFonts w:hint="eastAsia" w:ascii="宋体" w:hAnsi="宋体"/>
                <w:b/>
                <w:sz w:val="20"/>
                <w:szCs w:val="20"/>
              </w:rPr>
              <w:t>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51" w:type="dxa"/>
            <w:vAlign w:val="center"/>
          </w:tcPr>
          <w:p>
            <w:pPr>
              <w:snapToGrid w:val="0"/>
              <w:spacing w:line="276" w:lineRule="auto"/>
              <w:jc w:val="center"/>
              <w:rPr>
                <w:rFonts w:ascii="宋体"/>
                <w:sz w:val="20"/>
                <w:szCs w:val="20"/>
              </w:rPr>
            </w:pPr>
            <w:r>
              <w:rPr>
                <w:rFonts w:ascii="宋体" w:hAnsi="宋体"/>
                <w:sz w:val="20"/>
                <w:szCs w:val="20"/>
              </w:rPr>
              <w:t>1</w:t>
            </w:r>
          </w:p>
        </w:tc>
        <w:tc>
          <w:tcPr>
            <w:tcW w:w="2347" w:type="dxa"/>
            <w:vAlign w:val="center"/>
          </w:tcPr>
          <w:p>
            <w:pPr>
              <w:spacing w:line="276" w:lineRule="auto"/>
              <w:jc w:val="center"/>
              <w:rPr>
                <w:rFonts w:ascii="宋体" w:hAnsi="宋体"/>
                <w:sz w:val="20"/>
                <w:szCs w:val="20"/>
              </w:rPr>
            </w:pPr>
            <w:r>
              <w:rPr>
                <w:rFonts w:hint="eastAsia" w:ascii="宋体" w:hAnsi="宋体"/>
                <w:sz w:val="20"/>
                <w:szCs w:val="20"/>
              </w:rPr>
              <w:t>电工</w:t>
            </w:r>
          </w:p>
        </w:tc>
        <w:tc>
          <w:tcPr>
            <w:tcW w:w="1796" w:type="dxa"/>
          </w:tcPr>
          <w:p>
            <w:pPr>
              <w:spacing w:line="276" w:lineRule="auto"/>
              <w:jc w:val="center"/>
              <w:rPr>
                <w:rFonts w:ascii="宋体" w:hAnsi="宋体"/>
                <w:sz w:val="20"/>
                <w:szCs w:val="20"/>
              </w:rPr>
            </w:pPr>
            <w:r>
              <w:rPr>
                <w:rFonts w:hint="eastAsia" w:ascii="宋体" w:hAnsi="宋体"/>
                <w:sz w:val="20"/>
                <w:szCs w:val="20"/>
              </w:rPr>
              <w:t>绍兴市人力资源和社会保障局</w:t>
            </w:r>
          </w:p>
        </w:tc>
        <w:tc>
          <w:tcPr>
            <w:tcW w:w="1105" w:type="dxa"/>
            <w:vAlign w:val="center"/>
          </w:tcPr>
          <w:p>
            <w:pPr>
              <w:spacing w:line="276" w:lineRule="auto"/>
              <w:jc w:val="center"/>
              <w:rPr>
                <w:rFonts w:ascii="宋体" w:hAnsi="宋体"/>
                <w:sz w:val="20"/>
                <w:szCs w:val="20"/>
              </w:rPr>
            </w:pPr>
            <w:r>
              <w:rPr>
                <w:rFonts w:hint="eastAsia" w:ascii="宋体" w:hAnsi="宋体"/>
                <w:sz w:val="20"/>
                <w:szCs w:val="20"/>
              </w:rPr>
              <w:t>中级</w:t>
            </w:r>
          </w:p>
        </w:tc>
        <w:tc>
          <w:tcPr>
            <w:tcW w:w="891" w:type="dxa"/>
            <w:vAlign w:val="center"/>
          </w:tcPr>
          <w:p>
            <w:pPr>
              <w:snapToGrid w:val="0"/>
              <w:spacing w:line="276" w:lineRule="auto"/>
              <w:jc w:val="center"/>
              <w:rPr>
                <w:sz w:val="20"/>
                <w:szCs w:val="22"/>
              </w:rPr>
            </w:pPr>
            <w:r>
              <w:rPr>
                <w:rFonts w:ascii="宋体"/>
                <w:sz w:val="20"/>
                <w:szCs w:val="20"/>
              </w:rPr>
              <w:t>2</w:t>
            </w:r>
          </w:p>
        </w:tc>
        <w:tc>
          <w:tcPr>
            <w:tcW w:w="1315" w:type="dxa"/>
            <w:vAlign w:val="center"/>
          </w:tcPr>
          <w:p>
            <w:pPr>
              <w:spacing w:line="276" w:lineRule="auto"/>
              <w:jc w:val="center"/>
              <w:rPr>
                <w:sz w:val="20"/>
                <w:szCs w:val="22"/>
              </w:rPr>
            </w:pPr>
            <w:r>
              <w:rPr>
                <w:rFonts w:hint="eastAsia"/>
                <w:sz w:val="20"/>
                <w:szCs w:val="22"/>
              </w:rPr>
              <w:t>维修电工实训（中级）</w:t>
            </w:r>
          </w:p>
        </w:tc>
        <w:tc>
          <w:tcPr>
            <w:tcW w:w="723" w:type="dxa"/>
            <w:vAlign w:val="center"/>
          </w:tcPr>
          <w:p>
            <w:pPr>
              <w:spacing w:line="276" w:lineRule="auto"/>
              <w:jc w:val="center"/>
              <w:rPr>
                <w:sz w:val="20"/>
                <w:szCs w:val="22"/>
              </w:rPr>
            </w:pPr>
            <w:r>
              <w:rPr>
                <w:rFonts w:hint="eastAsia"/>
                <w:sz w:val="20"/>
                <w:szCs w:val="22"/>
              </w:rPr>
              <w:t>√</w:t>
            </w:r>
          </w:p>
        </w:tc>
        <w:tc>
          <w:tcPr>
            <w:tcW w:w="727" w:type="dxa"/>
            <w:vAlign w:val="center"/>
          </w:tcPr>
          <w:p>
            <w:pPr>
              <w:spacing w:line="276" w:lineRule="auto"/>
              <w:jc w:val="center"/>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1" w:type="dxa"/>
            <w:vAlign w:val="center"/>
          </w:tcPr>
          <w:p>
            <w:pPr>
              <w:snapToGrid w:val="0"/>
              <w:spacing w:line="276" w:lineRule="auto"/>
              <w:jc w:val="center"/>
              <w:rPr>
                <w:rFonts w:ascii="宋体" w:hAnsi="宋体"/>
                <w:sz w:val="20"/>
                <w:szCs w:val="20"/>
              </w:rPr>
            </w:pPr>
            <w:r>
              <w:rPr>
                <w:rFonts w:ascii="宋体" w:hAnsi="宋体"/>
                <w:sz w:val="20"/>
                <w:szCs w:val="20"/>
              </w:rPr>
              <w:t>2</w:t>
            </w:r>
          </w:p>
        </w:tc>
        <w:tc>
          <w:tcPr>
            <w:tcW w:w="2347" w:type="dxa"/>
            <w:vAlign w:val="center"/>
          </w:tcPr>
          <w:p>
            <w:pPr>
              <w:spacing w:line="276" w:lineRule="auto"/>
              <w:jc w:val="center"/>
              <w:rPr>
                <w:sz w:val="20"/>
                <w:szCs w:val="22"/>
              </w:rPr>
            </w:pPr>
            <w:r>
              <w:rPr>
                <w:rFonts w:hint="eastAsia"/>
                <w:sz w:val="20"/>
                <w:szCs w:val="22"/>
              </w:rPr>
              <w:t>低压电工作业证</w:t>
            </w:r>
          </w:p>
        </w:tc>
        <w:tc>
          <w:tcPr>
            <w:tcW w:w="1796" w:type="dxa"/>
            <w:vAlign w:val="center"/>
          </w:tcPr>
          <w:p>
            <w:pPr>
              <w:spacing w:line="276" w:lineRule="auto"/>
              <w:jc w:val="center"/>
              <w:rPr>
                <w:rFonts w:ascii="宋体" w:hAnsi="宋体"/>
                <w:sz w:val="20"/>
                <w:szCs w:val="20"/>
              </w:rPr>
            </w:pPr>
            <w:r>
              <w:rPr>
                <w:rFonts w:hint="eastAsia" w:ascii="宋体" w:hAnsi="宋体"/>
                <w:sz w:val="20"/>
                <w:szCs w:val="20"/>
              </w:rPr>
              <w:t>浙江省应急管理厅</w:t>
            </w:r>
          </w:p>
        </w:tc>
        <w:tc>
          <w:tcPr>
            <w:tcW w:w="1105" w:type="dxa"/>
            <w:vAlign w:val="center"/>
          </w:tcPr>
          <w:p>
            <w:pPr>
              <w:spacing w:line="276" w:lineRule="auto"/>
              <w:jc w:val="center"/>
              <w:rPr>
                <w:sz w:val="20"/>
                <w:szCs w:val="22"/>
              </w:rPr>
            </w:pPr>
            <w:r>
              <w:rPr>
                <w:rFonts w:hint="eastAsia" w:ascii="宋体" w:hAnsi="宋体"/>
                <w:sz w:val="20"/>
                <w:szCs w:val="20"/>
              </w:rPr>
              <w:t>上岗证</w:t>
            </w:r>
          </w:p>
        </w:tc>
        <w:tc>
          <w:tcPr>
            <w:tcW w:w="891" w:type="dxa"/>
            <w:vAlign w:val="center"/>
          </w:tcPr>
          <w:p>
            <w:pPr>
              <w:snapToGrid w:val="0"/>
              <w:spacing w:line="276" w:lineRule="auto"/>
              <w:jc w:val="center"/>
              <w:rPr>
                <w:sz w:val="20"/>
                <w:szCs w:val="22"/>
              </w:rPr>
            </w:pPr>
            <w:r>
              <w:rPr>
                <w:rFonts w:ascii="宋体"/>
                <w:sz w:val="20"/>
                <w:szCs w:val="20"/>
              </w:rPr>
              <w:t>1</w:t>
            </w:r>
          </w:p>
        </w:tc>
        <w:tc>
          <w:tcPr>
            <w:tcW w:w="1315" w:type="dxa"/>
            <w:vAlign w:val="center"/>
          </w:tcPr>
          <w:p>
            <w:pPr>
              <w:spacing w:line="276" w:lineRule="auto"/>
              <w:jc w:val="center"/>
              <w:rPr>
                <w:sz w:val="20"/>
                <w:szCs w:val="22"/>
              </w:rPr>
            </w:pPr>
            <w:r>
              <w:rPr>
                <w:rFonts w:hint="eastAsia"/>
                <w:sz w:val="20"/>
                <w:szCs w:val="22"/>
              </w:rPr>
              <w:t>低压电工作业实训</w:t>
            </w:r>
          </w:p>
        </w:tc>
        <w:tc>
          <w:tcPr>
            <w:tcW w:w="723" w:type="dxa"/>
            <w:vAlign w:val="center"/>
          </w:tcPr>
          <w:p>
            <w:pPr>
              <w:spacing w:line="276" w:lineRule="auto"/>
              <w:jc w:val="center"/>
              <w:rPr>
                <w:sz w:val="20"/>
                <w:szCs w:val="22"/>
              </w:rPr>
            </w:pPr>
            <w:r>
              <w:rPr>
                <w:rFonts w:hint="eastAsia"/>
                <w:sz w:val="20"/>
                <w:szCs w:val="22"/>
              </w:rPr>
              <w:t>√</w:t>
            </w:r>
          </w:p>
        </w:tc>
        <w:tc>
          <w:tcPr>
            <w:tcW w:w="727" w:type="dxa"/>
            <w:vAlign w:val="center"/>
          </w:tcPr>
          <w:p>
            <w:pPr>
              <w:spacing w:line="276" w:lineRule="auto"/>
              <w:jc w:val="center"/>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51" w:type="dxa"/>
            <w:vAlign w:val="center"/>
          </w:tcPr>
          <w:p>
            <w:pPr>
              <w:snapToGrid w:val="0"/>
              <w:spacing w:line="276" w:lineRule="auto"/>
              <w:jc w:val="center"/>
              <w:rPr>
                <w:rFonts w:ascii="宋体" w:hAnsi="宋体"/>
                <w:sz w:val="20"/>
                <w:szCs w:val="20"/>
              </w:rPr>
            </w:pPr>
            <w:r>
              <w:rPr>
                <w:rFonts w:hint="eastAsia" w:ascii="宋体" w:hAnsi="宋体"/>
                <w:sz w:val="20"/>
                <w:szCs w:val="20"/>
              </w:rPr>
              <w:t>3</w:t>
            </w:r>
          </w:p>
        </w:tc>
        <w:tc>
          <w:tcPr>
            <w:tcW w:w="2347" w:type="dxa"/>
            <w:vAlign w:val="center"/>
          </w:tcPr>
          <w:p>
            <w:pPr>
              <w:jc w:val="center"/>
              <w:rPr>
                <w:sz w:val="20"/>
                <w:szCs w:val="22"/>
              </w:rPr>
            </w:pPr>
            <w:r>
              <w:rPr>
                <w:rFonts w:hint="eastAsia"/>
                <w:sz w:val="20"/>
                <w:szCs w:val="22"/>
              </w:rPr>
              <w:t>英语等级考试</w:t>
            </w:r>
          </w:p>
        </w:tc>
        <w:tc>
          <w:tcPr>
            <w:tcW w:w="1796" w:type="dxa"/>
            <w:vAlign w:val="center"/>
          </w:tcPr>
          <w:p>
            <w:pPr>
              <w:jc w:val="center"/>
              <w:rPr>
                <w:rFonts w:ascii="宋体" w:hAnsi="宋体"/>
                <w:sz w:val="20"/>
                <w:szCs w:val="20"/>
              </w:rPr>
            </w:pPr>
            <w:r>
              <w:rPr>
                <w:rFonts w:hint="eastAsia" w:ascii="宋体" w:hAnsi="宋体"/>
                <w:sz w:val="20"/>
                <w:szCs w:val="20"/>
              </w:rPr>
              <w:t>教育部考试中心</w:t>
            </w:r>
          </w:p>
        </w:tc>
        <w:tc>
          <w:tcPr>
            <w:tcW w:w="1105" w:type="dxa"/>
            <w:vAlign w:val="center"/>
          </w:tcPr>
          <w:p>
            <w:pPr>
              <w:jc w:val="center"/>
              <w:rPr>
                <w:rFonts w:ascii="宋体" w:hAnsi="宋体"/>
                <w:sz w:val="20"/>
                <w:szCs w:val="20"/>
              </w:rPr>
            </w:pPr>
            <w:r>
              <w:rPr>
                <w:rFonts w:hint="eastAsia" w:ascii="宋体" w:hAnsi="宋体"/>
                <w:sz w:val="20"/>
                <w:szCs w:val="20"/>
              </w:rPr>
              <w:t>三级以上</w:t>
            </w:r>
          </w:p>
        </w:tc>
        <w:tc>
          <w:tcPr>
            <w:tcW w:w="891" w:type="dxa"/>
            <w:vAlign w:val="center"/>
          </w:tcPr>
          <w:p>
            <w:pPr>
              <w:jc w:val="center"/>
              <w:rPr>
                <w:sz w:val="20"/>
                <w:szCs w:val="22"/>
              </w:rPr>
            </w:pPr>
            <w:r>
              <w:rPr>
                <w:rFonts w:hint="eastAsia"/>
                <w:sz w:val="20"/>
                <w:szCs w:val="22"/>
              </w:rPr>
              <w:t>2</w:t>
            </w:r>
          </w:p>
        </w:tc>
        <w:tc>
          <w:tcPr>
            <w:tcW w:w="1315" w:type="dxa"/>
            <w:vAlign w:val="center"/>
          </w:tcPr>
          <w:p>
            <w:pPr>
              <w:jc w:val="center"/>
              <w:rPr>
                <w:sz w:val="20"/>
                <w:szCs w:val="22"/>
              </w:rPr>
            </w:pPr>
            <w:r>
              <w:rPr>
                <w:rFonts w:hint="eastAsia"/>
                <w:sz w:val="20"/>
                <w:szCs w:val="22"/>
              </w:rPr>
              <w:t>大学英语视听说</w:t>
            </w:r>
          </w:p>
        </w:tc>
        <w:tc>
          <w:tcPr>
            <w:tcW w:w="723" w:type="dxa"/>
            <w:vAlign w:val="center"/>
          </w:tcPr>
          <w:p>
            <w:pPr>
              <w:jc w:val="center"/>
              <w:rPr>
                <w:sz w:val="20"/>
                <w:szCs w:val="22"/>
              </w:rPr>
            </w:pPr>
          </w:p>
        </w:tc>
        <w:tc>
          <w:tcPr>
            <w:tcW w:w="727" w:type="dxa"/>
            <w:vAlign w:val="center"/>
          </w:tcPr>
          <w:p>
            <w:pPr>
              <w:jc w:val="center"/>
              <w:rPr>
                <w:sz w:val="20"/>
                <w:szCs w:val="22"/>
              </w:rPr>
            </w:pPr>
            <w:r>
              <w:rPr>
                <w:rFonts w:hint="eastAsia"/>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51" w:type="dxa"/>
            <w:vAlign w:val="center"/>
          </w:tcPr>
          <w:p>
            <w:pPr>
              <w:snapToGrid w:val="0"/>
              <w:spacing w:line="276" w:lineRule="auto"/>
              <w:jc w:val="center"/>
              <w:rPr>
                <w:rFonts w:ascii="宋体"/>
                <w:sz w:val="20"/>
                <w:szCs w:val="20"/>
              </w:rPr>
            </w:pPr>
            <w:r>
              <w:rPr>
                <w:rFonts w:hint="eastAsia" w:ascii="宋体" w:hAnsi="宋体"/>
                <w:sz w:val="20"/>
                <w:szCs w:val="20"/>
              </w:rPr>
              <w:t>4</w:t>
            </w:r>
          </w:p>
        </w:tc>
        <w:tc>
          <w:tcPr>
            <w:tcW w:w="2347" w:type="dxa"/>
            <w:vAlign w:val="center"/>
          </w:tcPr>
          <w:p>
            <w:pPr>
              <w:spacing w:line="276" w:lineRule="auto"/>
              <w:jc w:val="center"/>
              <w:rPr>
                <w:rFonts w:ascii="宋体" w:hAnsi="宋体"/>
                <w:sz w:val="20"/>
                <w:szCs w:val="20"/>
              </w:rPr>
            </w:pPr>
            <w:r>
              <w:rPr>
                <w:rFonts w:hint="eastAsia" w:ascii="宋体" w:hAnsi="宋体"/>
                <w:sz w:val="20"/>
                <w:szCs w:val="20"/>
              </w:rPr>
              <w:t>电工</w:t>
            </w:r>
          </w:p>
        </w:tc>
        <w:tc>
          <w:tcPr>
            <w:tcW w:w="1796" w:type="dxa"/>
          </w:tcPr>
          <w:p>
            <w:pPr>
              <w:spacing w:line="276" w:lineRule="auto"/>
              <w:jc w:val="center"/>
              <w:rPr>
                <w:rFonts w:ascii="宋体" w:hAnsi="宋体"/>
                <w:sz w:val="20"/>
                <w:szCs w:val="20"/>
              </w:rPr>
            </w:pPr>
            <w:r>
              <w:rPr>
                <w:rFonts w:hint="eastAsia" w:ascii="宋体" w:hAnsi="宋体"/>
                <w:sz w:val="20"/>
                <w:szCs w:val="20"/>
              </w:rPr>
              <w:t>绍兴市人力资源和社会保障局</w:t>
            </w:r>
          </w:p>
        </w:tc>
        <w:tc>
          <w:tcPr>
            <w:tcW w:w="1105" w:type="dxa"/>
            <w:vAlign w:val="center"/>
          </w:tcPr>
          <w:p>
            <w:pPr>
              <w:spacing w:line="276" w:lineRule="auto"/>
              <w:jc w:val="center"/>
              <w:rPr>
                <w:rFonts w:ascii="宋体" w:hAnsi="宋体"/>
                <w:sz w:val="20"/>
                <w:szCs w:val="20"/>
              </w:rPr>
            </w:pPr>
            <w:r>
              <w:rPr>
                <w:rFonts w:hint="eastAsia" w:ascii="宋体" w:hAnsi="宋体"/>
                <w:sz w:val="20"/>
                <w:szCs w:val="20"/>
              </w:rPr>
              <w:t>高级</w:t>
            </w:r>
          </w:p>
        </w:tc>
        <w:tc>
          <w:tcPr>
            <w:tcW w:w="891" w:type="dxa"/>
            <w:vAlign w:val="center"/>
          </w:tcPr>
          <w:p>
            <w:pPr>
              <w:snapToGrid w:val="0"/>
              <w:spacing w:line="276" w:lineRule="auto"/>
              <w:jc w:val="center"/>
              <w:rPr>
                <w:rFonts w:ascii="宋体"/>
                <w:sz w:val="20"/>
                <w:szCs w:val="20"/>
              </w:rPr>
            </w:pPr>
            <w:r>
              <w:rPr>
                <w:rFonts w:hint="eastAsia" w:ascii="宋体"/>
                <w:sz w:val="20"/>
                <w:szCs w:val="20"/>
              </w:rPr>
              <w:t>1</w:t>
            </w:r>
          </w:p>
        </w:tc>
        <w:tc>
          <w:tcPr>
            <w:tcW w:w="1315" w:type="dxa"/>
            <w:vAlign w:val="center"/>
          </w:tcPr>
          <w:p>
            <w:pPr>
              <w:snapToGrid w:val="0"/>
              <w:spacing w:line="276" w:lineRule="auto"/>
              <w:jc w:val="center"/>
              <w:rPr>
                <w:rFonts w:ascii="宋体"/>
                <w:sz w:val="20"/>
                <w:szCs w:val="20"/>
              </w:rPr>
            </w:pPr>
            <w:r>
              <w:rPr>
                <w:rFonts w:hint="eastAsia" w:ascii="宋体"/>
                <w:sz w:val="20"/>
                <w:szCs w:val="20"/>
              </w:rPr>
              <w:t>自动控制综合应用技术实训</w:t>
            </w:r>
          </w:p>
        </w:tc>
        <w:tc>
          <w:tcPr>
            <w:tcW w:w="723" w:type="dxa"/>
            <w:vAlign w:val="center"/>
          </w:tcPr>
          <w:p>
            <w:pPr>
              <w:snapToGrid w:val="0"/>
              <w:spacing w:line="276" w:lineRule="auto"/>
              <w:jc w:val="center"/>
              <w:rPr>
                <w:rFonts w:ascii="宋体"/>
                <w:sz w:val="20"/>
                <w:szCs w:val="20"/>
              </w:rPr>
            </w:pPr>
          </w:p>
        </w:tc>
        <w:tc>
          <w:tcPr>
            <w:tcW w:w="727" w:type="dxa"/>
            <w:vAlign w:val="center"/>
          </w:tcPr>
          <w:p>
            <w:pPr>
              <w:snapToGrid w:val="0"/>
              <w:spacing w:line="276" w:lineRule="auto"/>
              <w:jc w:val="center"/>
              <w:rPr>
                <w:rFonts w:ascii="宋体"/>
                <w:sz w:val="20"/>
                <w:szCs w:val="20"/>
              </w:rPr>
            </w:pPr>
            <w:r>
              <w:rPr>
                <w:rFonts w:hint="eastAsia"/>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51" w:type="dxa"/>
            <w:vAlign w:val="center"/>
          </w:tcPr>
          <w:p>
            <w:pPr>
              <w:snapToGrid w:val="0"/>
              <w:spacing w:line="276" w:lineRule="auto"/>
              <w:jc w:val="center"/>
              <w:rPr>
                <w:rFonts w:ascii="宋体"/>
                <w:sz w:val="20"/>
                <w:szCs w:val="20"/>
              </w:rPr>
            </w:pPr>
            <w:r>
              <w:rPr>
                <w:rFonts w:hint="eastAsia" w:ascii="宋体" w:hAnsi="宋体"/>
                <w:sz w:val="20"/>
                <w:szCs w:val="20"/>
              </w:rPr>
              <w:t>5</w:t>
            </w:r>
          </w:p>
        </w:tc>
        <w:tc>
          <w:tcPr>
            <w:tcW w:w="2347" w:type="dxa"/>
            <w:vAlign w:val="center"/>
          </w:tcPr>
          <w:p>
            <w:pPr>
              <w:spacing w:line="276" w:lineRule="auto"/>
              <w:jc w:val="center"/>
              <w:rPr>
                <w:rFonts w:ascii="宋体" w:hAnsi="宋体"/>
                <w:sz w:val="20"/>
                <w:szCs w:val="20"/>
              </w:rPr>
            </w:pPr>
            <w:r>
              <w:rPr>
                <w:rFonts w:hint="eastAsia" w:ascii="宋体" w:hAnsi="宋体"/>
                <w:sz w:val="20"/>
                <w:szCs w:val="20"/>
              </w:rPr>
              <w:t>二维</w:t>
            </w:r>
            <w:r>
              <w:rPr>
                <w:rFonts w:ascii="宋体" w:hAnsi="宋体"/>
                <w:sz w:val="20"/>
                <w:szCs w:val="20"/>
              </w:rPr>
              <w:t>CAD绘图师</w:t>
            </w:r>
          </w:p>
        </w:tc>
        <w:tc>
          <w:tcPr>
            <w:tcW w:w="1796" w:type="dxa"/>
          </w:tcPr>
          <w:p>
            <w:pPr>
              <w:spacing w:line="276" w:lineRule="auto"/>
              <w:jc w:val="center"/>
              <w:rPr>
                <w:rFonts w:ascii="宋体" w:hAnsi="宋体"/>
                <w:sz w:val="20"/>
                <w:szCs w:val="20"/>
              </w:rPr>
            </w:pPr>
            <w:r>
              <w:rPr>
                <w:rFonts w:hint="eastAsia" w:ascii="宋体" w:hAnsi="宋体"/>
                <w:sz w:val="20"/>
                <w:szCs w:val="20"/>
              </w:rPr>
              <w:t>国家制造业信息化培训中心</w:t>
            </w:r>
          </w:p>
        </w:tc>
        <w:tc>
          <w:tcPr>
            <w:tcW w:w="1105" w:type="dxa"/>
            <w:vAlign w:val="center"/>
          </w:tcPr>
          <w:p>
            <w:pPr>
              <w:spacing w:line="276" w:lineRule="auto"/>
              <w:jc w:val="center"/>
              <w:rPr>
                <w:rFonts w:ascii="宋体" w:hAnsi="宋体"/>
                <w:sz w:val="20"/>
                <w:szCs w:val="20"/>
              </w:rPr>
            </w:pPr>
            <w:r>
              <w:rPr>
                <w:rFonts w:hint="eastAsia" w:ascii="宋体" w:hAnsi="宋体"/>
                <w:sz w:val="20"/>
                <w:szCs w:val="20"/>
              </w:rPr>
              <w:t>中级</w:t>
            </w:r>
          </w:p>
        </w:tc>
        <w:tc>
          <w:tcPr>
            <w:tcW w:w="891" w:type="dxa"/>
            <w:vAlign w:val="center"/>
          </w:tcPr>
          <w:p>
            <w:pPr>
              <w:snapToGrid w:val="0"/>
              <w:spacing w:line="276" w:lineRule="auto"/>
              <w:jc w:val="center"/>
              <w:rPr>
                <w:rFonts w:ascii="宋体"/>
                <w:sz w:val="20"/>
                <w:szCs w:val="20"/>
              </w:rPr>
            </w:pPr>
            <w:r>
              <w:rPr>
                <w:rFonts w:hint="eastAsia" w:ascii="宋体"/>
                <w:sz w:val="20"/>
                <w:szCs w:val="20"/>
              </w:rPr>
              <w:t>4</w:t>
            </w:r>
          </w:p>
        </w:tc>
        <w:tc>
          <w:tcPr>
            <w:tcW w:w="1315" w:type="dxa"/>
            <w:vAlign w:val="center"/>
          </w:tcPr>
          <w:p>
            <w:pPr>
              <w:snapToGrid w:val="0"/>
              <w:spacing w:line="276" w:lineRule="auto"/>
              <w:jc w:val="center"/>
              <w:rPr>
                <w:rFonts w:ascii="宋体"/>
                <w:sz w:val="20"/>
                <w:szCs w:val="20"/>
              </w:rPr>
            </w:pPr>
            <w:r>
              <w:rPr>
                <w:rFonts w:hint="eastAsia" w:ascii="宋体"/>
                <w:sz w:val="20"/>
                <w:szCs w:val="20"/>
              </w:rPr>
              <w:t>工程制图与CAD</w:t>
            </w:r>
          </w:p>
        </w:tc>
        <w:tc>
          <w:tcPr>
            <w:tcW w:w="723" w:type="dxa"/>
            <w:vAlign w:val="center"/>
          </w:tcPr>
          <w:p>
            <w:pPr>
              <w:snapToGrid w:val="0"/>
              <w:spacing w:line="276" w:lineRule="auto"/>
              <w:jc w:val="center"/>
              <w:rPr>
                <w:rFonts w:ascii="宋体"/>
                <w:sz w:val="20"/>
                <w:szCs w:val="20"/>
              </w:rPr>
            </w:pPr>
          </w:p>
        </w:tc>
        <w:tc>
          <w:tcPr>
            <w:tcW w:w="727" w:type="dxa"/>
            <w:vAlign w:val="center"/>
          </w:tcPr>
          <w:p>
            <w:pPr>
              <w:snapToGrid w:val="0"/>
              <w:spacing w:line="276" w:lineRule="auto"/>
              <w:jc w:val="center"/>
              <w:rPr>
                <w:rFonts w:ascii="宋体"/>
                <w:sz w:val="20"/>
                <w:szCs w:val="20"/>
              </w:rPr>
            </w:pPr>
            <w:r>
              <w:rPr>
                <w:rFonts w:hint="eastAsia"/>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51" w:type="dxa"/>
            <w:vAlign w:val="center"/>
          </w:tcPr>
          <w:p>
            <w:pPr>
              <w:snapToGrid w:val="0"/>
              <w:spacing w:line="276" w:lineRule="auto"/>
              <w:jc w:val="center"/>
              <w:rPr>
                <w:rFonts w:ascii="宋体"/>
                <w:sz w:val="20"/>
                <w:szCs w:val="20"/>
              </w:rPr>
            </w:pPr>
            <w:r>
              <w:rPr>
                <w:rFonts w:hint="eastAsia" w:ascii="宋体" w:hAnsi="宋体"/>
                <w:sz w:val="20"/>
                <w:szCs w:val="20"/>
              </w:rPr>
              <w:t>6</w:t>
            </w:r>
          </w:p>
        </w:tc>
        <w:tc>
          <w:tcPr>
            <w:tcW w:w="2347" w:type="dxa"/>
            <w:vAlign w:val="center"/>
          </w:tcPr>
          <w:p>
            <w:pPr>
              <w:spacing w:line="276" w:lineRule="auto"/>
              <w:jc w:val="center"/>
              <w:rPr>
                <w:rFonts w:ascii="宋体"/>
                <w:sz w:val="20"/>
                <w:szCs w:val="20"/>
              </w:rPr>
            </w:pPr>
            <w:r>
              <w:rPr>
                <w:rFonts w:hint="eastAsia" w:ascii="宋体" w:hAnsi="宋体"/>
                <w:sz w:val="20"/>
                <w:szCs w:val="20"/>
              </w:rPr>
              <w:t>建</w:t>
            </w:r>
            <w:r>
              <w:rPr>
                <w:rFonts w:ascii="宋体" w:hAnsi="宋体"/>
                <w:sz w:val="20"/>
                <w:szCs w:val="20"/>
              </w:rPr>
              <w:t>(</w:t>
            </w:r>
            <w:r>
              <w:rPr>
                <w:rFonts w:hint="eastAsia" w:ascii="宋体" w:hAnsi="宋体"/>
                <w:sz w:val="20"/>
                <w:szCs w:val="20"/>
              </w:rPr>
              <w:t>构</w:t>
            </w:r>
            <w:r>
              <w:rPr>
                <w:rFonts w:ascii="宋体" w:hAnsi="宋体"/>
                <w:sz w:val="20"/>
                <w:szCs w:val="20"/>
              </w:rPr>
              <w:t>)</w:t>
            </w:r>
            <w:r>
              <w:rPr>
                <w:rFonts w:hint="eastAsia" w:ascii="宋体" w:hAnsi="宋体"/>
                <w:sz w:val="20"/>
                <w:szCs w:val="20"/>
              </w:rPr>
              <w:t>筑物消防员职业资格等级证书</w:t>
            </w:r>
          </w:p>
        </w:tc>
        <w:tc>
          <w:tcPr>
            <w:tcW w:w="1796" w:type="dxa"/>
            <w:vAlign w:val="center"/>
          </w:tcPr>
          <w:p>
            <w:pPr>
              <w:spacing w:line="276" w:lineRule="auto"/>
              <w:jc w:val="center"/>
              <w:rPr>
                <w:rFonts w:ascii="宋体"/>
                <w:sz w:val="20"/>
                <w:szCs w:val="20"/>
              </w:rPr>
            </w:pPr>
            <w:r>
              <w:rPr>
                <w:rFonts w:hint="eastAsia" w:ascii="宋体" w:hAnsi="宋体"/>
                <w:sz w:val="20"/>
                <w:szCs w:val="20"/>
              </w:rPr>
              <w:t>绍兴市人力资源和社会保障局</w:t>
            </w:r>
          </w:p>
        </w:tc>
        <w:tc>
          <w:tcPr>
            <w:tcW w:w="1105" w:type="dxa"/>
            <w:vAlign w:val="center"/>
          </w:tcPr>
          <w:p>
            <w:pPr>
              <w:spacing w:line="276" w:lineRule="auto"/>
              <w:jc w:val="center"/>
              <w:rPr>
                <w:rFonts w:ascii="宋体"/>
                <w:sz w:val="20"/>
                <w:szCs w:val="20"/>
              </w:rPr>
            </w:pPr>
            <w:r>
              <w:rPr>
                <w:rFonts w:hint="eastAsia" w:ascii="宋体" w:hAnsi="宋体"/>
                <w:sz w:val="20"/>
                <w:szCs w:val="20"/>
              </w:rPr>
              <w:t>初级</w:t>
            </w:r>
          </w:p>
        </w:tc>
        <w:tc>
          <w:tcPr>
            <w:tcW w:w="891" w:type="dxa"/>
            <w:vAlign w:val="center"/>
          </w:tcPr>
          <w:p>
            <w:pPr>
              <w:snapToGrid w:val="0"/>
              <w:spacing w:line="276" w:lineRule="auto"/>
              <w:jc w:val="center"/>
              <w:rPr>
                <w:rFonts w:ascii="宋体"/>
                <w:sz w:val="20"/>
                <w:szCs w:val="20"/>
              </w:rPr>
            </w:pPr>
            <w:r>
              <w:rPr>
                <w:rFonts w:ascii="宋体"/>
                <w:sz w:val="20"/>
                <w:szCs w:val="20"/>
              </w:rPr>
              <w:t>4</w:t>
            </w:r>
          </w:p>
        </w:tc>
        <w:tc>
          <w:tcPr>
            <w:tcW w:w="1315" w:type="dxa"/>
            <w:vAlign w:val="center"/>
          </w:tcPr>
          <w:p>
            <w:pPr>
              <w:snapToGrid w:val="0"/>
              <w:spacing w:line="276" w:lineRule="auto"/>
              <w:jc w:val="center"/>
              <w:rPr>
                <w:rFonts w:ascii="宋体"/>
                <w:sz w:val="20"/>
                <w:szCs w:val="20"/>
              </w:rPr>
            </w:pPr>
            <w:r>
              <w:rPr>
                <w:rFonts w:hint="eastAsia" w:ascii="宋体"/>
                <w:sz w:val="20"/>
                <w:szCs w:val="20"/>
              </w:rPr>
              <w:t>城轨环控与消控系统检修</w:t>
            </w:r>
          </w:p>
        </w:tc>
        <w:tc>
          <w:tcPr>
            <w:tcW w:w="723" w:type="dxa"/>
            <w:vAlign w:val="center"/>
          </w:tcPr>
          <w:p>
            <w:pPr>
              <w:snapToGrid w:val="0"/>
              <w:spacing w:line="276" w:lineRule="auto"/>
              <w:jc w:val="center"/>
              <w:rPr>
                <w:rFonts w:ascii="宋体"/>
                <w:sz w:val="20"/>
                <w:szCs w:val="20"/>
              </w:rPr>
            </w:pPr>
          </w:p>
        </w:tc>
        <w:tc>
          <w:tcPr>
            <w:tcW w:w="727" w:type="dxa"/>
            <w:vAlign w:val="center"/>
          </w:tcPr>
          <w:p>
            <w:pPr>
              <w:snapToGrid w:val="0"/>
              <w:spacing w:line="276" w:lineRule="auto"/>
              <w:jc w:val="center"/>
              <w:rPr>
                <w:rFonts w:asci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51" w:type="dxa"/>
            <w:vAlign w:val="center"/>
          </w:tcPr>
          <w:p>
            <w:pPr>
              <w:snapToGrid w:val="0"/>
              <w:spacing w:line="276" w:lineRule="auto"/>
              <w:jc w:val="center"/>
              <w:rPr>
                <w:rFonts w:ascii="宋体" w:hAnsi="宋体"/>
                <w:sz w:val="20"/>
                <w:szCs w:val="20"/>
              </w:rPr>
            </w:pPr>
            <w:r>
              <w:rPr>
                <w:rFonts w:hint="eastAsia" w:ascii="宋体" w:hAnsi="宋体"/>
                <w:sz w:val="20"/>
                <w:szCs w:val="20"/>
              </w:rPr>
              <w:t>7</w:t>
            </w:r>
          </w:p>
        </w:tc>
        <w:tc>
          <w:tcPr>
            <w:tcW w:w="2347" w:type="dxa"/>
            <w:vAlign w:val="center"/>
          </w:tcPr>
          <w:p>
            <w:pPr>
              <w:spacing w:line="276" w:lineRule="auto"/>
              <w:jc w:val="center"/>
              <w:rPr>
                <w:rFonts w:ascii="宋体" w:hAnsi="宋体"/>
                <w:sz w:val="20"/>
                <w:szCs w:val="20"/>
              </w:rPr>
            </w:pPr>
            <w:r>
              <w:rPr>
                <w:rFonts w:hint="eastAsia" w:ascii="宋体" w:hAnsi="宋体"/>
                <w:sz w:val="20"/>
                <w:szCs w:val="20"/>
              </w:rPr>
              <w:t>特种设备作业人员证</w:t>
            </w:r>
          </w:p>
        </w:tc>
        <w:tc>
          <w:tcPr>
            <w:tcW w:w="1796" w:type="dxa"/>
          </w:tcPr>
          <w:p>
            <w:pPr>
              <w:spacing w:line="276" w:lineRule="auto"/>
              <w:jc w:val="center"/>
              <w:rPr>
                <w:rFonts w:ascii="宋体" w:hAnsi="宋体"/>
                <w:sz w:val="20"/>
                <w:szCs w:val="20"/>
              </w:rPr>
            </w:pPr>
            <w:r>
              <w:rPr>
                <w:rFonts w:hint="eastAsia" w:ascii="宋体" w:hAnsi="宋体"/>
                <w:sz w:val="20"/>
                <w:szCs w:val="20"/>
              </w:rPr>
              <w:t>绍兴市质量技术监督局</w:t>
            </w:r>
          </w:p>
        </w:tc>
        <w:tc>
          <w:tcPr>
            <w:tcW w:w="1105" w:type="dxa"/>
            <w:vAlign w:val="center"/>
          </w:tcPr>
          <w:p>
            <w:pPr>
              <w:spacing w:line="276" w:lineRule="auto"/>
              <w:jc w:val="center"/>
              <w:rPr>
                <w:rFonts w:ascii="宋体" w:hAnsi="宋体"/>
                <w:sz w:val="20"/>
                <w:szCs w:val="20"/>
              </w:rPr>
            </w:pPr>
            <w:r>
              <w:rPr>
                <w:rFonts w:hint="eastAsia" w:ascii="宋体" w:hAnsi="宋体"/>
                <w:sz w:val="20"/>
                <w:szCs w:val="20"/>
              </w:rPr>
              <w:t>电梯安全管理员</w:t>
            </w:r>
          </w:p>
        </w:tc>
        <w:tc>
          <w:tcPr>
            <w:tcW w:w="891" w:type="dxa"/>
            <w:vAlign w:val="center"/>
          </w:tcPr>
          <w:p>
            <w:pPr>
              <w:snapToGrid w:val="0"/>
              <w:spacing w:line="276" w:lineRule="auto"/>
              <w:jc w:val="center"/>
              <w:rPr>
                <w:rFonts w:ascii="宋体"/>
                <w:sz w:val="20"/>
                <w:szCs w:val="20"/>
              </w:rPr>
            </w:pPr>
            <w:r>
              <w:rPr>
                <w:rFonts w:ascii="宋体"/>
                <w:sz w:val="20"/>
                <w:szCs w:val="20"/>
              </w:rPr>
              <w:t>4</w:t>
            </w:r>
          </w:p>
        </w:tc>
        <w:tc>
          <w:tcPr>
            <w:tcW w:w="1315" w:type="dxa"/>
            <w:vAlign w:val="center"/>
          </w:tcPr>
          <w:p>
            <w:pPr>
              <w:snapToGrid w:val="0"/>
              <w:spacing w:line="276" w:lineRule="auto"/>
              <w:jc w:val="center"/>
              <w:rPr>
                <w:rFonts w:ascii="宋体"/>
                <w:sz w:val="20"/>
                <w:szCs w:val="20"/>
              </w:rPr>
            </w:pPr>
            <w:r>
              <w:rPr>
                <w:rFonts w:hint="eastAsia" w:ascii="宋体"/>
                <w:sz w:val="20"/>
                <w:szCs w:val="20"/>
              </w:rPr>
              <w:t>电扶梯与屏蔽门检修</w:t>
            </w:r>
          </w:p>
        </w:tc>
        <w:tc>
          <w:tcPr>
            <w:tcW w:w="723" w:type="dxa"/>
            <w:vAlign w:val="center"/>
          </w:tcPr>
          <w:p>
            <w:pPr>
              <w:snapToGrid w:val="0"/>
              <w:spacing w:line="276" w:lineRule="auto"/>
              <w:jc w:val="center"/>
              <w:rPr>
                <w:rFonts w:ascii="宋体"/>
                <w:sz w:val="20"/>
                <w:szCs w:val="20"/>
              </w:rPr>
            </w:pPr>
          </w:p>
        </w:tc>
        <w:tc>
          <w:tcPr>
            <w:tcW w:w="727" w:type="dxa"/>
            <w:vAlign w:val="center"/>
          </w:tcPr>
          <w:p>
            <w:pPr>
              <w:snapToGrid w:val="0"/>
              <w:spacing w:line="276" w:lineRule="auto"/>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1" w:type="dxa"/>
            <w:vAlign w:val="center"/>
          </w:tcPr>
          <w:p>
            <w:pPr>
              <w:snapToGrid w:val="0"/>
              <w:spacing w:line="276" w:lineRule="auto"/>
              <w:jc w:val="center"/>
              <w:rPr>
                <w:rFonts w:ascii="宋体" w:hAnsi="宋体"/>
                <w:sz w:val="20"/>
                <w:szCs w:val="20"/>
              </w:rPr>
            </w:pPr>
            <w:r>
              <w:rPr>
                <w:rFonts w:hint="eastAsia" w:ascii="宋体" w:hAnsi="宋体"/>
                <w:sz w:val="20"/>
                <w:szCs w:val="20"/>
              </w:rPr>
              <w:t>8</w:t>
            </w:r>
          </w:p>
        </w:tc>
        <w:tc>
          <w:tcPr>
            <w:tcW w:w="2347" w:type="dxa"/>
            <w:vAlign w:val="center"/>
          </w:tcPr>
          <w:p>
            <w:pPr>
              <w:jc w:val="center"/>
              <w:rPr>
                <w:rFonts w:ascii="宋体" w:hAnsi="宋体"/>
                <w:sz w:val="20"/>
                <w:szCs w:val="20"/>
              </w:rPr>
            </w:pPr>
            <w:r>
              <w:rPr>
                <w:rFonts w:hint="eastAsia" w:ascii="宋体" w:hAnsi="宋体"/>
                <w:sz w:val="20"/>
                <w:szCs w:val="20"/>
              </w:rPr>
              <w:t>轨道交通电气设备装调职业技能等级证书</w:t>
            </w:r>
          </w:p>
        </w:tc>
        <w:tc>
          <w:tcPr>
            <w:tcW w:w="1796" w:type="dxa"/>
            <w:vAlign w:val="center"/>
          </w:tcPr>
          <w:p>
            <w:pPr>
              <w:jc w:val="center"/>
              <w:rPr>
                <w:rFonts w:ascii="宋体" w:hAnsi="宋体"/>
                <w:sz w:val="20"/>
                <w:szCs w:val="20"/>
              </w:rPr>
            </w:pPr>
            <w:r>
              <w:rPr>
                <w:rFonts w:hint="eastAsia" w:ascii="宋体" w:hAnsi="宋体"/>
                <w:sz w:val="20"/>
                <w:szCs w:val="20"/>
              </w:rPr>
              <w:t>中国中车集团有限公司</w:t>
            </w:r>
          </w:p>
        </w:tc>
        <w:tc>
          <w:tcPr>
            <w:tcW w:w="1105" w:type="dxa"/>
            <w:vAlign w:val="center"/>
          </w:tcPr>
          <w:p>
            <w:pPr>
              <w:jc w:val="center"/>
              <w:rPr>
                <w:rFonts w:ascii="宋体" w:hAnsi="宋体"/>
                <w:sz w:val="20"/>
                <w:szCs w:val="20"/>
              </w:rPr>
            </w:pPr>
            <w:r>
              <w:rPr>
                <w:rFonts w:hint="eastAsia" w:ascii="宋体" w:hAnsi="宋体"/>
                <w:sz w:val="20"/>
                <w:szCs w:val="20"/>
              </w:rPr>
              <w:t>中级</w:t>
            </w:r>
          </w:p>
        </w:tc>
        <w:tc>
          <w:tcPr>
            <w:tcW w:w="891" w:type="dxa"/>
            <w:vAlign w:val="center"/>
          </w:tcPr>
          <w:p>
            <w:pPr>
              <w:snapToGrid w:val="0"/>
              <w:jc w:val="center"/>
              <w:rPr>
                <w:rFonts w:ascii="宋体"/>
                <w:sz w:val="20"/>
                <w:szCs w:val="20"/>
              </w:rPr>
            </w:pPr>
            <w:r>
              <w:rPr>
                <w:rFonts w:hint="eastAsia" w:ascii="宋体"/>
                <w:sz w:val="20"/>
                <w:szCs w:val="20"/>
              </w:rPr>
              <w:t>1</w:t>
            </w:r>
          </w:p>
        </w:tc>
        <w:tc>
          <w:tcPr>
            <w:tcW w:w="1315" w:type="dxa"/>
            <w:vAlign w:val="center"/>
          </w:tcPr>
          <w:p>
            <w:pPr>
              <w:snapToGrid w:val="0"/>
              <w:jc w:val="center"/>
              <w:rPr>
                <w:rFonts w:ascii="宋体"/>
                <w:sz w:val="20"/>
                <w:szCs w:val="20"/>
              </w:rPr>
            </w:pPr>
            <w:r>
              <w:rPr>
                <w:rFonts w:hint="eastAsia" w:ascii="宋体"/>
                <w:sz w:val="20"/>
                <w:szCs w:val="20"/>
              </w:rPr>
              <w:t>轨道交通电气设备装调实训(中级)</w:t>
            </w:r>
          </w:p>
        </w:tc>
        <w:tc>
          <w:tcPr>
            <w:tcW w:w="723" w:type="dxa"/>
            <w:vAlign w:val="center"/>
          </w:tcPr>
          <w:p>
            <w:pPr>
              <w:snapToGrid w:val="0"/>
              <w:jc w:val="center"/>
              <w:rPr>
                <w:rFonts w:ascii="宋体" w:hAnsi="宋体"/>
                <w:b/>
                <w:sz w:val="20"/>
                <w:szCs w:val="20"/>
              </w:rPr>
            </w:pPr>
          </w:p>
        </w:tc>
        <w:tc>
          <w:tcPr>
            <w:tcW w:w="727" w:type="dxa"/>
            <w:vAlign w:val="center"/>
          </w:tcPr>
          <w:p>
            <w:pPr>
              <w:snapToGrid w:val="0"/>
              <w:jc w:val="center"/>
              <w:rPr>
                <w:rFonts w:ascii="宋体" w:hAnsi="宋体"/>
                <w:sz w:val="20"/>
                <w:szCs w:val="20"/>
              </w:rPr>
            </w:pPr>
            <w:r>
              <w:rPr>
                <w:rFonts w:hint="eastAsia" w:ascii="宋体" w:hAnsi="宋体"/>
                <w:sz w:val="20"/>
                <w:szCs w:val="20"/>
              </w:rPr>
              <w:t>√</w:t>
            </w:r>
          </w:p>
        </w:tc>
      </w:tr>
    </w:tbl>
    <w:p>
      <w:pPr>
        <w:spacing w:line="440" w:lineRule="atLeast"/>
        <w:rPr>
          <w:rFonts w:hint="eastAsia" w:ascii="宋体" w:hAnsi="宋体" w:cs="宋体"/>
          <w:b/>
          <w:bCs/>
          <w:kern w:val="44"/>
          <w:sz w:val="28"/>
          <w:szCs w:val="28"/>
          <w:lang w:eastAsia="zh-CN"/>
        </w:rPr>
      </w:pPr>
      <w:r>
        <w:rPr>
          <w:rFonts w:hint="eastAsia" w:ascii="宋体" w:hAnsi="宋体" w:cs="宋体"/>
          <w:b/>
          <w:bCs/>
          <w:kern w:val="44"/>
          <w:sz w:val="28"/>
          <w:szCs w:val="28"/>
        </w:rPr>
        <w:t xml:space="preserve"> </w:t>
      </w:r>
      <w:bookmarkEnd w:id="9"/>
      <w:bookmarkEnd w:id="10"/>
      <w:bookmarkEnd w:id="11"/>
      <w:bookmarkEnd w:id="12"/>
      <w:bookmarkEnd w:id="13"/>
      <w:bookmarkEnd w:id="14"/>
      <w:r>
        <w:rPr>
          <w:rFonts w:hint="eastAsia" w:ascii="宋体" w:hAnsi="宋体" w:cs="宋体"/>
          <w:b/>
          <w:bCs/>
          <w:kern w:val="44"/>
          <w:sz w:val="28"/>
          <w:szCs w:val="28"/>
          <w:lang w:eastAsia="zh-CN"/>
        </w:rPr>
        <w:t>附件：教学进程表</w:t>
      </w:r>
    </w:p>
    <w:tbl>
      <w:tblPr>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6"/>
        <w:gridCol w:w="366"/>
        <w:gridCol w:w="450"/>
        <w:gridCol w:w="1779"/>
        <w:gridCol w:w="936"/>
        <w:gridCol w:w="690"/>
        <w:gridCol w:w="450"/>
        <w:gridCol w:w="450"/>
        <w:gridCol w:w="630"/>
        <w:gridCol w:w="516"/>
        <w:gridCol w:w="516"/>
        <w:gridCol w:w="516"/>
        <w:gridCol w:w="516"/>
        <w:gridCol w:w="450"/>
        <w:gridCol w:w="450"/>
        <w:gridCol w:w="450"/>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131" w:type="dxa"/>
            <w:gridSpan w:val="1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绍兴市中等专业学校</w:t>
            </w:r>
            <w:r>
              <w:rPr>
                <w:rStyle w:val="56"/>
                <w:bdr w:val="none" w:color="auto" w:sz="0" w:space="0"/>
                <w:lang w:val="en-US" w:eastAsia="zh-CN" w:bidi="ar"/>
              </w:rPr>
              <w:t>城市轨道交通机电技术专业</w:t>
            </w:r>
            <w:r>
              <w:rPr>
                <w:rFonts w:hint="eastAsia" w:ascii="宋体" w:hAnsi="宋体" w:eastAsia="宋体" w:cs="宋体"/>
                <w:b/>
                <w:bCs/>
                <w:i w:val="0"/>
                <w:iCs w:val="0"/>
                <w:color w:val="000000"/>
                <w:kern w:val="0"/>
                <w:sz w:val="22"/>
                <w:szCs w:val="22"/>
                <w:u w:val="none"/>
                <w:bdr w:val="none" w:color="auto" w:sz="0" w:space="0"/>
                <w:lang w:val="en-US" w:eastAsia="zh-CN" w:bidi="ar"/>
              </w:rPr>
              <w:t>教学进程表</w:t>
            </w:r>
            <w:r>
              <w:rPr>
                <w:rStyle w:val="56"/>
                <w:bdr w:val="none" w:color="auto" w:sz="0" w:space="0"/>
                <w:lang w:val="en-US" w:eastAsia="zh-CN" w:bidi="ar"/>
              </w:rPr>
              <w:t>（五年制）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课程属性</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序号</w:t>
            </w:r>
          </w:p>
        </w:tc>
        <w:tc>
          <w:tcPr>
            <w:tcW w:w="243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课程名称</w:t>
            </w: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课程代码</w:t>
            </w:r>
          </w:p>
        </w:tc>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性质</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考试</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方式</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学分</w:t>
            </w:r>
          </w:p>
        </w:tc>
        <w:tc>
          <w:tcPr>
            <w:tcW w:w="15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教学时数</w:t>
            </w:r>
          </w:p>
        </w:tc>
        <w:tc>
          <w:tcPr>
            <w:tcW w:w="270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课程教学各学期周学时/实践周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总</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理论</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实践</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一</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二</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四</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五</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公共基础课程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410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思想政治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体育与健康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艺术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243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心理健康</w:t>
            </w: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9</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思想道德修养与法律基础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毛泽东思想和中国特色社会主义理论体系概论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历史</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51"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104</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1652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（技能）课程</w:t>
            </w:r>
          </w:p>
        </w:tc>
        <w:tc>
          <w:tcPr>
            <w:tcW w:w="27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专业融通课程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金工实习</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66317201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13</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电工基本电路安装与调试</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66314302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电子基本电路装接与调试</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66314306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15</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机械基础</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66314704</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AutoCAD</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66317305</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工厂电气控制设备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66317408</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机床电气故障诊断与维修</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66317462</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PLC应用技术</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66317209</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51"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专业核心课程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城市轨道交通工程识图*</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66318410</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22</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城市轨道交通概论*</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66315411</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23</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自动售检票系统及检修*</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66315412</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城市轨道交通员工职业素养</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66315213</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电扶梯与屏蔽门检修*</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66315314</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26</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城市轨道交通行车组织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66315415</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27</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城轨环控与消控系统检修*</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66315416</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城市轨道交通信号设备基础与实训</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66318417</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51"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580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384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专业拓展课程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城市轨道交通法规</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66316118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城市轨道交通车站设备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66316419</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城市轨道交通车站运作管理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66316420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城轨应急处理与公共安全</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66319421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33</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城市轨道交通站务实训</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66319422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34</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单片机原理与应用</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66319423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专业选修（限选）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51"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232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5121"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178</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3560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2422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1138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素质拓展课程及</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其他教学环节</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w:t>
            </w:r>
          </w:p>
        </w:tc>
        <w:tc>
          <w:tcPr>
            <w:tcW w:w="326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自由选修</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326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军事训练及入学教育</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37</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识岗</w:t>
            </w: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0.2W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38</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习岗</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0.3W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39</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跟岗</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2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顶岗（毕业设计）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851"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710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51"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总计</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4270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2467</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1803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r>
    </w:tbl>
    <w:p>
      <w:pPr>
        <w:spacing w:line="440" w:lineRule="atLeast"/>
        <w:rPr>
          <w:rFonts w:hint="eastAsia" w:ascii="宋体" w:hAnsi="宋体" w:cs="宋体"/>
          <w:b/>
          <w:bCs/>
          <w:kern w:val="44"/>
          <w:sz w:val="28"/>
          <w:szCs w:val="28"/>
          <w:lang w:eastAsia="zh-CN"/>
        </w:rPr>
      </w:pPr>
      <w:bookmarkStart w:id="19" w:name="_GoBack"/>
      <w:bookmarkEnd w:id="19"/>
    </w:p>
    <w:sectPr>
      <w:footerReference r:id="rId3" w:type="default"/>
      <w:pgSz w:w="11906" w:h="16838"/>
      <w:pgMar w:top="1134" w:right="1134" w:bottom="1134"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9C0"/>
    <w:rsid w:val="0000267F"/>
    <w:rsid w:val="000055A9"/>
    <w:rsid w:val="0001006E"/>
    <w:rsid w:val="00011569"/>
    <w:rsid w:val="00013080"/>
    <w:rsid w:val="000142F4"/>
    <w:rsid w:val="00015B04"/>
    <w:rsid w:val="00021E42"/>
    <w:rsid w:val="000226B7"/>
    <w:rsid w:val="00023CDA"/>
    <w:rsid w:val="00024A93"/>
    <w:rsid w:val="00024AF3"/>
    <w:rsid w:val="00025A60"/>
    <w:rsid w:val="000268BF"/>
    <w:rsid w:val="00026E25"/>
    <w:rsid w:val="000343BA"/>
    <w:rsid w:val="00035DE2"/>
    <w:rsid w:val="00036686"/>
    <w:rsid w:val="00037425"/>
    <w:rsid w:val="00037FA8"/>
    <w:rsid w:val="0004035C"/>
    <w:rsid w:val="00047CA2"/>
    <w:rsid w:val="00050F9D"/>
    <w:rsid w:val="000526C5"/>
    <w:rsid w:val="00053A7F"/>
    <w:rsid w:val="00056778"/>
    <w:rsid w:val="00056D52"/>
    <w:rsid w:val="000608A8"/>
    <w:rsid w:val="00060ADB"/>
    <w:rsid w:val="00060E5D"/>
    <w:rsid w:val="00070960"/>
    <w:rsid w:val="0007152C"/>
    <w:rsid w:val="00072064"/>
    <w:rsid w:val="000729ED"/>
    <w:rsid w:val="000738B9"/>
    <w:rsid w:val="00073B93"/>
    <w:rsid w:val="0007718E"/>
    <w:rsid w:val="00077FF4"/>
    <w:rsid w:val="000819C0"/>
    <w:rsid w:val="00086615"/>
    <w:rsid w:val="00095669"/>
    <w:rsid w:val="000A0E9D"/>
    <w:rsid w:val="000A1068"/>
    <w:rsid w:val="000A2928"/>
    <w:rsid w:val="000A3FF9"/>
    <w:rsid w:val="000A528E"/>
    <w:rsid w:val="000B05CC"/>
    <w:rsid w:val="000B0AC6"/>
    <w:rsid w:val="000B0C58"/>
    <w:rsid w:val="000B208A"/>
    <w:rsid w:val="000B2117"/>
    <w:rsid w:val="000B288F"/>
    <w:rsid w:val="000B44B7"/>
    <w:rsid w:val="000B5EC5"/>
    <w:rsid w:val="000B6CA5"/>
    <w:rsid w:val="000B70E1"/>
    <w:rsid w:val="000B7139"/>
    <w:rsid w:val="000B7195"/>
    <w:rsid w:val="000C1527"/>
    <w:rsid w:val="000C221C"/>
    <w:rsid w:val="000C29FF"/>
    <w:rsid w:val="000C491F"/>
    <w:rsid w:val="000C6CFE"/>
    <w:rsid w:val="000C7915"/>
    <w:rsid w:val="000D1C91"/>
    <w:rsid w:val="000D351C"/>
    <w:rsid w:val="000D4C2F"/>
    <w:rsid w:val="000D5F7E"/>
    <w:rsid w:val="000D75E0"/>
    <w:rsid w:val="000D7874"/>
    <w:rsid w:val="000E2EDC"/>
    <w:rsid w:val="000E57C1"/>
    <w:rsid w:val="000E68A7"/>
    <w:rsid w:val="000F270C"/>
    <w:rsid w:val="000F29B7"/>
    <w:rsid w:val="000F4401"/>
    <w:rsid w:val="000F4529"/>
    <w:rsid w:val="001000E5"/>
    <w:rsid w:val="00101D92"/>
    <w:rsid w:val="00102943"/>
    <w:rsid w:val="00103D03"/>
    <w:rsid w:val="00103DF7"/>
    <w:rsid w:val="0010500F"/>
    <w:rsid w:val="00106338"/>
    <w:rsid w:val="00106D98"/>
    <w:rsid w:val="00113A37"/>
    <w:rsid w:val="00115FAD"/>
    <w:rsid w:val="00116CCE"/>
    <w:rsid w:val="00120114"/>
    <w:rsid w:val="001302AD"/>
    <w:rsid w:val="001302DE"/>
    <w:rsid w:val="0013030C"/>
    <w:rsid w:val="00131C6C"/>
    <w:rsid w:val="001348C6"/>
    <w:rsid w:val="00137881"/>
    <w:rsid w:val="001428FA"/>
    <w:rsid w:val="001434E0"/>
    <w:rsid w:val="001440BA"/>
    <w:rsid w:val="00150594"/>
    <w:rsid w:val="00155B2D"/>
    <w:rsid w:val="00155C54"/>
    <w:rsid w:val="00162661"/>
    <w:rsid w:val="0016352D"/>
    <w:rsid w:val="001635D9"/>
    <w:rsid w:val="001646E8"/>
    <w:rsid w:val="00164F1F"/>
    <w:rsid w:val="00165E75"/>
    <w:rsid w:val="001671B7"/>
    <w:rsid w:val="001703B9"/>
    <w:rsid w:val="001704CA"/>
    <w:rsid w:val="00171A3F"/>
    <w:rsid w:val="00173FD2"/>
    <w:rsid w:val="00174116"/>
    <w:rsid w:val="00175D2E"/>
    <w:rsid w:val="0017724D"/>
    <w:rsid w:val="001807DE"/>
    <w:rsid w:val="00181C3E"/>
    <w:rsid w:val="00186FB3"/>
    <w:rsid w:val="00187D44"/>
    <w:rsid w:val="001905AE"/>
    <w:rsid w:val="001928F7"/>
    <w:rsid w:val="001941B0"/>
    <w:rsid w:val="001949B1"/>
    <w:rsid w:val="00196D9E"/>
    <w:rsid w:val="001A0A34"/>
    <w:rsid w:val="001A1776"/>
    <w:rsid w:val="001A205B"/>
    <w:rsid w:val="001A2EDD"/>
    <w:rsid w:val="001A4A11"/>
    <w:rsid w:val="001A55CB"/>
    <w:rsid w:val="001A5C5D"/>
    <w:rsid w:val="001B4F1A"/>
    <w:rsid w:val="001B690A"/>
    <w:rsid w:val="001B7EDC"/>
    <w:rsid w:val="001C3E95"/>
    <w:rsid w:val="001C4096"/>
    <w:rsid w:val="001C4CFD"/>
    <w:rsid w:val="001D1553"/>
    <w:rsid w:val="001D2669"/>
    <w:rsid w:val="001D3AAF"/>
    <w:rsid w:val="001D4151"/>
    <w:rsid w:val="001E2222"/>
    <w:rsid w:val="001E2FA7"/>
    <w:rsid w:val="001E393B"/>
    <w:rsid w:val="001E43E7"/>
    <w:rsid w:val="001E4D56"/>
    <w:rsid w:val="001E6259"/>
    <w:rsid w:val="001E647F"/>
    <w:rsid w:val="001E6D20"/>
    <w:rsid w:val="001E6EBC"/>
    <w:rsid w:val="001F0620"/>
    <w:rsid w:val="001F0ABB"/>
    <w:rsid w:val="001F1195"/>
    <w:rsid w:val="001F1A07"/>
    <w:rsid w:val="001F3C46"/>
    <w:rsid w:val="001F3E4A"/>
    <w:rsid w:val="001F4206"/>
    <w:rsid w:val="001F4E55"/>
    <w:rsid w:val="00200266"/>
    <w:rsid w:val="002047F0"/>
    <w:rsid w:val="002057E9"/>
    <w:rsid w:val="0020595D"/>
    <w:rsid w:val="00207588"/>
    <w:rsid w:val="0020793B"/>
    <w:rsid w:val="0021240F"/>
    <w:rsid w:val="00213A73"/>
    <w:rsid w:val="00213B3A"/>
    <w:rsid w:val="00214209"/>
    <w:rsid w:val="002200AA"/>
    <w:rsid w:val="0023349E"/>
    <w:rsid w:val="0023587E"/>
    <w:rsid w:val="0023632C"/>
    <w:rsid w:val="00242EBE"/>
    <w:rsid w:val="002435DE"/>
    <w:rsid w:val="00246024"/>
    <w:rsid w:val="00247202"/>
    <w:rsid w:val="0025055D"/>
    <w:rsid w:val="0025099C"/>
    <w:rsid w:val="00250DD0"/>
    <w:rsid w:val="00253893"/>
    <w:rsid w:val="0025495E"/>
    <w:rsid w:val="00257F6A"/>
    <w:rsid w:val="00260349"/>
    <w:rsid w:val="00262FFA"/>
    <w:rsid w:val="00263EFF"/>
    <w:rsid w:val="002711F0"/>
    <w:rsid w:val="00273822"/>
    <w:rsid w:val="002739BE"/>
    <w:rsid w:val="00274E3F"/>
    <w:rsid w:val="00276030"/>
    <w:rsid w:val="00283D69"/>
    <w:rsid w:val="00286604"/>
    <w:rsid w:val="00292843"/>
    <w:rsid w:val="00293E4D"/>
    <w:rsid w:val="0029455E"/>
    <w:rsid w:val="002A1F48"/>
    <w:rsid w:val="002A2951"/>
    <w:rsid w:val="002A38C3"/>
    <w:rsid w:val="002A5C10"/>
    <w:rsid w:val="002A6E5F"/>
    <w:rsid w:val="002B2255"/>
    <w:rsid w:val="002B22FC"/>
    <w:rsid w:val="002B3585"/>
    <w:rsid w:val="002B394E"/>
    <w:rsid w:val="002B3FE5"/>
    <w:rsid w:val="002B65EB"/>
    <w:rsid w:val="002B6CC5"/>
    <w:rsid w:val="002C1A55"/>
    <w:rsid w:val="002C27A8"/>
    <w:rsid w:val="002C590E"/>
    <w:rsid w:val="002C6554"/>
    <w:rsid w:val="002C673E"/>
    <w:rsid w:val="002C67E8"/>
    <w:rsid w:val="002C79E4"/>
    <w:rsid w:val="002D005E"/>
    <w:rsid w:val="002D33F0"/>
    <w:rsid w:val="002D3E90"/>
    <w:rsid w:val="002D4052"/>
    <w:rsid w:val="002D61F9"/>
    <w:rsid w:val="002D7912"/>
    <w:rsid w:val="002E184D"/>
    <w:rsid w:val="002E3A08"/>
    <w:rsid w:val="002E54F4"/>
    <w:rsid w:val="002F0903"/>
    <w:rsid w:val="002F3326"/>
    <w:rsid w:val="002F5A75"/>
    <w:rsid w:val="00302B55"/>
    <w:rsid w:val="00304B28"/>
    <w:rsid w:val="00307F2D"/>
    <w:rsid w:val="003114E9"/>
    <w:rsid w:val="003124B9"/>
    <w:rsid w:val="0031434D"/>
    <w:rsid w:val="00314C4A"/>
    <w:rsid w:val="00315F38"/>
    <w:rsid w:val="0031735E"/>
    <w:rsid w:val="00321139"/>
    <w:rsid w:val="00321CC6"/>
    <w:rsid w:val="00322010"/>
    <w:rsid w:val="003226C8"/>
    <w:rsid w:val="003236A9"/>
    <w:rsid w:val="0032411E"/>
    <w:rsid w:val="00325398"/>
    <w:rsid w:val="00325681"/>
    <w:rsid w:val="0032661B"/>
    <w:rsid w:val="00327159"/>
    <w:rsid w:val="003317C0"/>
    <w:rsid w:val="00333AB1"/>
    <w:rsid w:val="00337F5A"/>
    <w:rsid w:val="003427B2"/>
    <w:rsid w:val="003439F1"/>
    <w:rsid w:val="00344A71"/>
    <w:rsid w:val="0034542E"/>
    <w:rsid w:val="003461D8"/>
    <w:rsid w:val="003514E6"/>
    <w:rsid w:val="0035162D"/>
    <w:rsid w:val="003519CB"/>
    <w:rsid w:val="0035710B"/>
    <w:rsid w:val="00365414"/>
    <w:rsid w:val="00376E80"/>
    <w:rsid w:val="003804D5"/>
    <w:rsid w:val="003807D6"/>
    <w:rsid w:val="003808E1"/>
    <w:rsid w:val="0038200E"/>
    <w:rsid w:val="00382DC1"/>
    <w:rsid w:val="00383945"/>
    <w:rsid w:val="00383BBC"/>
    <w:rsid w:val="00385954"/>
    <w:rsid w:val="00385A88"/>
    <w:rsid w:val="00386CDF"/>
    <w:rsid w:val="00387A56"/>
    <w:rsid w:val="00387D67"/>
    <w:rsid w:val="00390B37"/>
    <w:rsid w:val="00392751"/>
    <w:rsid w:val="003928B1"/>
    <w:rsid w:val="0039574F"/>
    <w:rsid w:val="00396827"/>
    <w:rsid w:val="00397D5E"/>
    <w:rsid w:val="003A0FB7"/>
    <w:rsid w:val="003A4F55"/>
    <w:rsid w:val="003A7473"/>
    <w:rsid w:val="003A7CE2"/>
    <w:rsid w:val="003B2513"/>
    <w:rsid w:val="003B456D"/>
    <w:rsid w:val="003B77D9"/>
    <w:rsid w:val="003C0EF0"/>
    <w:rsid w:val="003C1E64"/>
    <w:rsid w:val="003C42B5"/>
    <w:rsid w:val="003C6531"/>
    <w:rsid w:val="003D1C37"/>
    <w:rsid w:val="003D1DF5"/>
    <w:rsid w:val="003D32FF"/>
    <w:rsid w:val="003D3C6F"/>
    <w:rsid w:val="003D5269"/>
    <w:rsid w:val="003D7E04"/>
    <w:rsid w:val="003E219A"/>
    <w:rsid w:val="003E4570"/>
    <w:rsid w:val="003E5F7F"/>
    <w:rsid w:val="003E7A20"/>
    <w:rsid w:val="003E7D92"/>
    <w:rsid w:val="003F4559"/>
    <w:rsid w:val="00400772"/>
    <w:rsid w:val="0040178A"/>
    <w:rsid w:val="00403F20"/>
    <w:rsid w:val="004043F0"/>
    <w:rsid w:val="00404E75"/>
    <w:rsid w:val="004058B5"/>
    <w:rsid w:val="004120A6"/>
    <w:rsid w:val="004126A7"/>
    <w:rsid w:val="00412AAF"/>
    <w:rsid w:val="00416447"/>
    <w:rsid w:val="004205A0"/>
    <w:rsid w:val="00422E48"/>
    <w:rsid w:val="00422E67"/>
    <w:rsid w:val="0042459C"/>
    <w:rsid w:val="00427DF2"/>
    <w:rsid w:val="004331D4"/>
    <w:rsid w:val="00434D0B"/>
    <w:rsid w:val="00434E6B"/>
    <w:rsid w:val="00435B51"/>
    <w:rsid w:val="00435F88"/>
    <w:rsid w:val="00441650"/>
    <w:rsid w:val="0044197F"/>
    <w:rsid w:val="004426FD"/>
    <w:rsid w:val="004430D2"/>
    <w:rsid w:val="004437E7"/>
    <w:rsid w:val="00444C32"/>
    <w:rsid w:val="0044536E"/>
    <w:rsid w:val="0044731E"/>
    <w:rsid w:val="004507EE"/>
    <w:rsid w:val="00461809"/>
    <w:rsid w:val="00461A93"/>
    <w:rsid w:val="00465FA3"/>
    <w:rsid w:val="00467443"/>
    <w:rsid w:val="0047192E"/>
    <w:rsid w:val="00472553"/>
    <w:rsid w:val="0047257C"/>
    <w:rsid w:val="0047364C"/>
    <w:rsid w:val="00473EDE"/>
    <w:rsid w:val="00481599"/>
    <w:rsid w:val="004819B7"/>
    <w:rsid w:val="00481C60"/>
    <w:rsid w:val="00482619"/>
    <w:rsid w:val="004841C8"/>
    <w:rsid w:val="004846FE"/>
    <w:rsid w:val="00486DA9"/>
    <w:rsid w:val="0048774E"/>
    <w:rsid w:val="004907D3"/>
    <w:rsid w:val="00490D7E"/>
    <w:rsid w:val="00491218"/>
    <w:rsid w:val="00493780"/>
    <w:rsid w:val="00493C86"/>
    <w:rsid w:val="004949C0"/>
    <w:rsid w:val="00494F7B"/>
    <w:rsid w:val="004953AC"/>
    <w:rsid w:val="00497CA7"/>
    <w:rsid w:val="004A15DF"/>
    <w:rsid w:val="004A6411"/>
    <w:rsid w:val="004A7CD6"/>
    <w:rsid w:val="004B2BC1"/>
    <w:rsid w:val="004B437C"/>
    <w:rsid w:val="004B522D"/>
    <w:rsid w:val="004B5320"/>
    <w:rsid w:val="004C0545"/>
    <w:rsid w:val="004C0F89"/>
    <w:rsid w:val="004C2768"/>
    <w:rsid w:val="004C34BE"/>
    <w:rsid w:val="004C64D2"/>
    <w:rsid w:val="004D0CF6"/>
    <w:rsid w:val="004D0F25"/>
    <w:rsid w:val="004D1478"/>
    <w:rsid w:val="004D398E"/>
    <w:rsid w:val="004D4AB1"/>
    <w:rsid w:val="004E1264"/>
    <w:rsid w:val="004E1F96"/>
    <w:rsid w:val="004E25CA"/>
    <w:rsid w:val="004E64DF"/>
    <w:rsid w:val="004E65EA"/>
    <w:rsid w:val="004E71A3"/>
    <w:rsid w:val="004E73FE"/>
    <w:rsid w:val="004F3CE7"/>
    <w:rsid w:val="004F4A9D"/>
    <w:rsid w:val="004F5374"/>
    <w:rsid w:val="004F5637"/>
    <w:rsid w:val="004F7D9D"/>
    <w:rsid w:val="00506380"/>
    <w:rsid w:val="00510FFE"/>
    <w:rsid w:val="005114E2"/>
    <w:rsid w:val="00512778"/>
    <w:rsid w:val="00520187"/>
    <w:rsid w:val="00525666"/>
    <w:rsid w:val="00526873"/>
    <w:rsid w:val="00530634"/>
    <w:rsid w:val="005322D6"/>
    <w:rsid w:val="005348A2"/>
    <w:rsid w:val="00535FD7"/>
    <w:rsid w:val="00536C9B"/>
    <w:rsid w:val="005404F2"/>
    <w:rsid w:val="00541339"/>
    <w:rsid w:val="005446A4"/>
    <w:rsid w:val="00544F78"/>
    <w:rsid w:val="00545095"/>
    <w:rsid w:val="00546D09"/>
    <w:rsid w:val="005538E5"/>
    <w:rsid w:val="005549DB"/>
    <w:rsid w:val="00554D16"/>
    <w:rsid w:val="005555A1"/>
    <w:rsid w:val="00556340"/>
    <w:rsid w:val="00556603"/>
    <w:rsid w:val="005603B8"/>
    <w:rsid w:val="005606D7"/>
    <w:rsid w:val="00562AC6"/>
    <w:rsid w:val="00563216"/>
    <w:rsid w:val="00564BE0"/>
    <w:rsid w:val="0056613E"/>
    <w:rsid w:val="00566930"/>
    <w:rsid w:val="005675E7"/>
    <w:rsid w:val="00570232"/>
    <w:rsid w:val="00572A9B"/>
    <w:rsid w:val="00574B07"/>
    <w:rsid w:val="00574F13"/>
    <w:rsid w:val="00576E9B"/>
    <w:rsid w:val="00577B43"/>
    <w:rsid w:val="00577E0B"/>
    <w:rsid w:val="00583DAB"/>
    <w:rsid w:val="00590CAE"/>
    <w:rsid w:val="00591CA4"/>
    <w:rsid w:val="005927B6"/>
    <w:rsid w:val="00594E5C"/>
    <w:rsid w:val="005A15FF"/>
    <w:rsid w:val="005A2905"/>
    <w:rsid w:val="005A2AD3"/>
    <w:rsid w:val="005A4786"/>
    <w:rsid w:val="005A61E7"/>
    <w:rsid w:val="005B1BBB"/>
    <w:rsid w:val="005B4E68"/>
    <w:rsid w:val="005B4E73"/>
    <w:rsid w:val="005B5C74"/>
    <w:rsid w:val="005C1690"/>
    <w:rsid w:val="005C48B6"/>
    <w:rsid w:val="005C5A9F"/>
    <w:rsid w:val="005C72A9"/>
    <w:rsid w:val="005D310A"/>
    <w:rsid w:val="005D4B9F"/>
    <w:rsid w:val="005E14BF"/>
    <w:rsid w:val="005E26AC"/>
    <w:rsid w:val="005E32D9"/>
    <w:rsid w:val="005E3706"/>
    <w:rsid w:val="005E5F95"/>
    <w:rsid w:val="005E6961"/>
    <w:rsid w:val="005E6E42"/>
    <w:rsid w:val="005E723C"/>
    <w:rsid w:val="005E7B09"/>
    <w:rsid w:val="005E7FF8"/>
    <w:rsid w:val="005F1A3C"/>
    <w:rsid w:val="005F37AD"/>
    <w:rsid w:val="005F643D"/>
    <w:rsid w:val="005F7042"/>
    <w:rsid w:val="005F71E2"/>
    <w:rsid w:val="005F78A4"/>
    <w:rsid w:val="006016AB"/>
    <w:rsid w:val="00601D21"/>
    <w:rsid w:val="00604476"/>
    <w:rsid w:val="00604F1D"/>
    <w:rsid w:val="0060647E"/>
    <w:rsid w:val="00610E81"/>
    <w:rsid w:val="00611F59"/>
    <w:rsid w:val="0061319C"/>
    <w:rsid w:val="00613256"/>
    <w:rsid w:val="00613A27"/>
    <w:rsid w:val="006140A5"/>
    <w:rsid w:val="006177B8"/>
    <w:rsid w:val="00620930"/>
    <w:rsid w:val="00622246"/>
    <w:rsid w:val="00623AD9"/>
    <w:rsid w:val="00626A06"/>
    <w:rsid w:val="00627FF6"/>
    <w:rsid w:val="006307B6"/>
    <w:rsid w:val="00631096"/>
    <w:rsid w:val="006367A7"/>
    <w:rsid w:val="00637645"/>
    <w:rsid w:val="00641606"/>
    <w:rsid w:val="00643412"/>
    <w:rsid w:val="0064392A"/>
    <w:rsid w:val="0064536D"/>
    <w:rsid w:val="0064545E"/>
    <w:rsid w:val="006474DD"/>
    <w:rsid w:val="00652A63"/>
    <w:rsid w:val="00652C73"/>
    <w:rsid w:val="00653128"/>
    <w:rsid w:val="00653CED"/>
    <w:rsid w:val="00654AA4"/>
    <w:rsid w:val="00654D19"/>
    <w:rsid w:val="0065581B"/>
    <w:rsid w:val="00656FB0"/>
    <w:rsid w:val="00657E81"/>
    <w:rsid w:val="006609A3"/>
    <w:rsid w:val="006623E8"/>
    <w:rsid w:val="006636B6"/>
    <w:rsid w:val="006665D4"/>
    <w:rsid w:val="00667906"/>
    <w:rsid w:val="00670648"/>
    <w:rsid w:val="0067130C"/>
    <w:rsid w:val="0067296A"/>
    <w:rsid w:val="00673170"/>
    <w:rsid w:val="00676B27"/>
    <w:rsid w:val="00677547"/>
    <w:rsid w:val="00677AE1"/>
    <w:rsid w:val="00682BDC"/>
    <w:rsid w:val="00683D06"/>
    <w:rsid w:val="0068501F"/>
    <w:rsid w:val="00686F90"/>
    <w:rsid w:val="0069038B"/>
    <w:rsid w:val="006972E6"/>
    <w:rsid w:val="006A12EC"/>
    <w:rsid w:val="006A2494"/>
    <w:rsid w:val="006A2812"/>
    <w:rsid w:val="006A47C7"/>
    <w:rsid w:val="006A4CA3"/>
    <w:rsid w:val="006A61B2"/>
    <w:rsid w:val="006B405D"/>
    <w:rsid w:val="006B5A51"/>
    <w:rsid w:val="006B778D"/>
    <w:rsid w:val="006C0D84"/>
    <w:rsid w:val="006C346A"/>
    <w:rsid w:val="006C43BE"/>
    <w:rsid w:val="006C5BD5"/>
    <w:rsid w:val="006C6131"/>
    <w:rsid w:val="006C7539"/>
    <w:rsid w:val="006D174E"/>
    <w:rsid w:val="006D2E72"/>
    <w:rsid w:val="006D3BB2"/>
    <w:rsid w:val="006D40D4"/>
    <w:rsid w:val="006D431B"/>
    <w:rsid w:val="006D4A47"/>
    <w:rsid w:val="006D5D84"/>
    <w:rsid w:val="006D6AB4"/>
    <w:rsid w:val="006E018A"/>
    <w:rsid w:val="006E18C3"/>
    <w:rsid w:val="006E4245"/>
    <w:rsid w:val="006E5EE3"/>
    <w:rsid w:val="006E6C38"/>
    <w:rsid w:val="006E7413"/>
    <w:rsid w:val="006F2D0E"/>
    <w:rsid w:val="006F3199"/>
    <w:rsid w:val="006F5890"/>
    <w:rsid w:val="006F5CBA"/>
    <w:rsid w:val="006F5F68"/>
    <w:rsid w:val="00702CF1"/>
    <w:rsid w:val="0070483F"/>
    <w:rsid w:val="007075C1"/>
    <w:rsid w:val="00707F02"/>
    <w:rsid w:val="007102BA"/>
    <w:rsid w:val="007103D9"/>
    <w:rsid w:val="00710897"/>
    <w:rsid w:val="00710DD2"/>
    <w:rsid w:val="00711D56"/>
    <w:rsid w:val="00712F18"/>
    <w:rsid w:val="007148F4"/>
    <w:rsid w:val="00715CB5"/>
    <w:rsid w:val="00716A42"/>
    <w:rsid w:val="007200A3"/>
    <w:rsid w:val="007209D0"/>
    <w:rsid w:val="00731CA6"/>
    <w:rsid w:val="007323A8"/>
    <w:rsid w:val="007330F8"/>
    <w:rsid w:val="0073444C"/>
    <w:rsid w:val="00736F04"/>
    <w:rsid w:val="007407A5"/>
    <w:rsid w:val="007407D0"/>
    <w:rsid w:val="00740844"/>
    <w:rsid w:val="00741ED3"/>
    <w:rsid w:val="00744C02"/>
    <w:rsid w:val="00746297"/>
    <w:rsid w:val="00747573"/>
    <w:rsid w:val="007475C8"/>
    <w:rsid w:val="00751527"/>
    <w:rsid w:val="00752D15"/>
    <w:rsid w:val="007534AB"/>
    <w:rsid w:val="00754FD3"/>
    <w:rsid w:val="00755A4E"/>
    <w:rsid w:val="007566CD"/>
    <w:rsid w:val="007574ED"/>
    <w:rsid w:val="00757E3F"/>
    <w:rsid w:val="00760C9A"/>
    <w:rsid w:val="007735F0"/>
    <w:rsid w:val="007749DF"/>
    <w:rsid w:val="007765DC"/>
    <w:rsid w:val="0078241C"/>
    <w:rsid w:val="00782624"/>
    <w:rsid w:val="007843AF"/>
    <w:rsid w:val="00785495"/>
    <w:rsid w:val="00785B41"/>
    <w:rsid w:val="007878C3"/>
    <w:rsid w:val="00791B36"/>
    <w:rsid w:val="00791E60"/>
    <w:rsid w:val="00794389"/>
    <w:rsid w:val="00795117"/>
    <w:rsid w:val="00797FC3"/>
    <w:rsid w:val="007A2BF4"/>
    <w:rsid w:val="007A4F76"/>
    <w:rsid w:val="007A6BC3"/>
    <w:rsid w:val="007B1166"/>
    <w:rsid w:val="007B6241"/>
    <w:rsid w:val="007B683C"/>
    <w:rsid w:val="007B6FF4"/>
    <w:rsid w:val="007B737A"/>
    <w:rsid w:val="007C3C7C"/>
    <w:rsid w:val="007C7CBA"/>
    <w:rsid w:val="007D2801"/>
    <w:rsid w:val="007D60F4"/>
    <w:rsid w:val="007D65D1"/>
    <w:rsid w:val="007E01F2"/>
    <w:rsid w:val="007E2D01"/>
    <w:rsid w:val="007E2E8C"/>
    <w:rsid w:val="007E47D1"/>
    <w:rsid w:val="007E49BE"/>
    <w:rsid w:val="007E7A3E"/>
    <w:rsid w:val="007E7E5E"/>
    <w:rsid w:val="007F106F"/>
    <w:rsid w:val="007F1559"/>
    <w:rsid w:val="007F3540"/>
    <w:rsid w:val="007F4617"/>
    <w:rsid w:val="007F6967"/>
    <w:rsid w:val="008005DA"/>
    <w:rsid w:val="00803276"/>
    <w:rsid w:val="00803841"/>
    <w:rsid w:val="008043CF"/>
    <w:rsid w:val="00806816"/>
    <w:rsid w:val="00806EF3"/>
    <w:rsid w:val="0081701D"/>
    <w:rsid w:val="0082016A"/>
    <w:rsid w:val="008213DE"/>
    <w:rsid w:val="00822615"/>
    <w:rsid w:val="00824881"/>
    <w:rsid w:val="00824EAD"/>
    <w:rsid w:val="00825981"/>
    <w:rsid w:val="00826DA6"/>
    <w:rsid w:val="008275F2"/>
    <w:rsid w:val="00831144"/>
    <w:rsid w:val="00831955"/>
    <w:rsid w:val="008335AF"/>
    <w:rsid w:val="00834209"/>
    <w:rsid w:val="008342D4"/>
    <w:rsid w:val="00834E6C"/>
    <w:rsid w:val="00835595"/>
    <w:rsid w:val="008366BC"/>
    <w:rsid w:val="00840564"/>
    <w:rsid w:val="008406B6"/>
    <w:rsid w:val="0084563B"/>
    <w:rsid w:val="00847EC4"/>
    <w:rsid w:val="008508E8"/>
    <w:rsid w:val="00851006"/>
    <w:rsid w:val="0085106B"/>
    <w:rsid w:val="00852E2A"/>
    <w:rsid w:val="00853C5B"/>
    <w:rsid w:val="0085547E"/>
    <w:rsid w:val="0086317F"/>
    <w:rsid w:val="00864729"/>
    <w:rsid w:val="00864E61"/>
    <w:rsid w:val="00865143"/>
    <w:rsid w:val="00867B3D"/>
    <w:rsid w:val="00871CF3"/>
    <w:rsid w:val="008737B7"/>
    <w:rsid w:val="0087447E"/>
    <w:rsid w:val="00874B00"/>
    <w:rsid w:val="00876A5C"/>
    <w:rsid w:val="008809AC"/>
    <w:rsid w:val="008839C5"/>
    <w:rsid w:val="00885B0E"/>
    <w:rsid w:val="008860E7"/>
    <w:rsid w:val="00887B7A"/>
    <w:rsid w:val="008904DF"/>
    <w:rsid w:val="00891954"/>
    <w:rsid w:val="00892F17"/>
    <w:rsid w:val="008966BD"/>
    <w:rsid w:val="00897080"/>
    <w:rsid w:val="00897A7D"/>
    <w:rsid w:val="008A32EA"/>
    <w:rsid w:val="008B1243"/>
    <w:rsid w:val="008B3146"/>
    <w:rsid w:val="008B6D3D"/>
    <w:rsid w:val="008C06A1"/>
    <w:rsid w:val="008C4388"/>
    <w:rsid w:val="008C5A0A"/>
    <w:rsid w:val="008C5D2D"/>
    <w:rsid w:val="008C60A7"/>
    <w:rsid w:val="008C615E"/>
    <w:rsid w:val="008C64CD"/>
    <w:rsid w:val="008D084A"/>
    <w:rsid w:val="008D09EF"/>
    <w:rsid w:val="008D0BEB"/>
    <w:rsid w:val="008E711B"/>
    <w:rsid w:val="008F1590"/>
    <w:rsid w:val="008F1AEB"/>
    <w:rsid w:val="008F476F"/>
    <w:rsid w:val="008F5294"/>
    <w:rsid w:val="008F5530"/>
    <w:rsid w:val="009025AC"/>
    <w:rsid w:val="00905C2E"/>
    <w:rsid w:val="00910613"/>
    <w:rsid w:val="00912706"/>
    <w:rsid w:val="00912CA8"/>
    <w:rsid w:val="009173C2"/>
    <w:rsid w:val="009219BB"/>
    <w:rsid w:val="00922B58"/>
    <w:rsid w:val="0092796C"/>
    <w:rsid w:val="00931D7D"/>
    <w:rsid w:val="0093334C"/>
    <w:rsid w:val="009344E8"/>
    <w:rsid w:val="00934C03"/>
    <w:rsid w:val="00935556"/>
    <w:rsid w:val="009361AD"/>
    <w:rsid w:val="009400FA"/>
    <w:rsid w:val="00940F5E"/>
    <w:rsid w:val="00941B24"/>
    <w:rsid w:val="00941D06"/>
    <w:rsid w:val="00943410"/>
    <w:rsid w:val="00945493"/>
    <w:rsid w:val="00945FCF"/>
    <w:rsid w:val="009461A0"/>
    <w:rsid w:val="00947165"/>
    <w:rsid w:val="00947237"/>
    <w:rsid w:val="00950B02"/>
    <w:rsid w:val="009535BB"/>
    <w:rsid w:val="0095368A"/>
    <w:rsid w:val="00954278"/>
    <w:rsid w:val="00955BA2"/>
    <w:rsid w:val="009567DC"/>
    <w:rsid w:val="00957ADF"/>
    <w:rsid w:val="00960C31"/>
    <w:rsid w:val="00960F14"/>
    <w:rsid w:val="00962E3D"/>
    <w:rsid w:val="00963755"/>
    <w:rsid w:val="00970511"/>
    <w:rsid w:val="00970D62"/>
    <w:rsid w:val="00971BA8"/>
    <w:rsid w:val="0097756F"/>
    <w:rsid w:val="009836AA"/>
    <w:rsid w:val="00983C66"/>
    <w:rsid w:val="00986931"/>
    <w:rsid w:val="00990778"/>
    <w:rsid w:val="00992E48"/>
    <w:rsid w:val="0099446C"/>
    <w:rsid w:val="009950A6"/>
    <w:rsid w:val="00996118"/>
    <w:rsid w:val="009963E0"/>
    <w:rsid w:val="009A1D9B"/>
    <w:rsid w:val="009A1F0E"/>
    <w:rsid w:val="009A2FB2"/>
    <w:rsid w:val="009A43D1"/>
    <w:rsid w:val="009B00AE"/>
    <w:rsid w:val="009B0F43"/>
    <w:rsid w:val="009B14B1"/>
    <w:rsid w:val="009B3CEE"/>
    <w:rsid w:val="009C2AA1"/>
    <w:rsid w:val="009C77FD"/>
    <w:rsid w:val="009D0305"/>
    <w:rsid w:val="009D1619"/>
    <w:rsid w:val="009D1F5C"/>
    <w:rsid w:val="009D22D8"/>
    <w:rsid w:val="009D4D8B"/>
    <w:rsid w:val="009D5FB9"/>
    <w:rsid w:val="009D64A0"/>
    <w:rsid w:val="009D66A2"/>
    <w:rsid w:val="009E2A0B"/>
    <w:rsid w:val="009E2BC0"/>
    <w:rsid w:val="009E3D74"/>
    <w:rsid w:val="009E53C1"/>
    <w:rsid w:val="009E6D70"/>
    <w:rsid w:val="009F396F"/>
    <w:rsid w:val="009F3E01"/>
    <w:rsid w:val="009F4E94"/>
    <w:rsid w:val="00A02CD5"/>
    <w:rsid w:val="00A03062"/>
    <w:rsid w:val="00A03921"/>
    <w:rsid w:val="00A065CA"/>
    <w:rsid w:val="00A06D29"/>
    <w:rsid w:val="00A07104"/>
    <w:rsid w:val="00A0712A"/>
    <w:rsid w:val="00A07207"/>
    <w:rsid w:val="00A0768A"/>
    <w:rsid w:val="00A07FD4"/>
    <w:rsid w:val="00A11CC5"/>
    <w:rsid w:val="00A1360D"/>
    <w:rsid w:val="00A14063"/>
    <w:rsid w:val="00A167F7"/>
    <w:rsid w:val="00A20C47"/>
    <w:rsid w:val="00A222CE"/>
    <w:rsid w:val="00A23B89"/>
    <w:rsid w:val="00A27CF0"/>
    <w:rsid w:val="00A27FE8"/>
    <w:rsid w:val="00A307DF"/>
    <w:rsid w:val="00A30EEC"/>
    <w:rsid w:val="00A32CCE"/>
    <w:rsid w:val="00A35770"/>
    <w:rsid w:val="00A3654E"/>
    <w:rsid w:val="00A36F4F"/>
    <w:rsid w:val="00A37406"/>
    <w:rsid w:val="00A41908"/>
    <w:rsid w:val="00A41FDB"/>
    <w:rsid w:val="00A41FFD"/>
    <w:rsid w:val="00A43775"/>
    <w:rsid w:val="00A44703"/>
    <w:rsid w:val="00A4630E"/>
    <w:rsid w:val="00A51B50"/>
    <w:rsid w:val="00A5480D"/>
    <w:rsid w:val="00A54F0E"/>
    <w:rsid w:val="00A574CA"/>
    <w:rsid w:val="00A57F69"/>
    <w:rsid w:val="00A649BA"/>
    <w:rsid w:val="00A67484"/>
    <w:rsid w:val="00A67E21"/>
    <w:rsid w:val="00A67EA0"/>
    <w:rsid w:val="00A70A26"/>
    <w:rsid w:val="00A74F2B"/>
    <w:rsid w:val="00A801FD"/>
    <w:rsid w:val="00A87F1A"/>
    <w:rsid w:val="00A9253B"/>
    <w:rsid w:val="00A92A11"/>
    <w:rsid w:val="00A92C3E"/>
    <w:rsid w:val="00A93809"/>
    <w:rsid w:val="00A94D01"/>
    <w:rsid w:val="00AA0511"/>
    <w:rsid w:val="00AA0E79"/>
    <w:rsid w:val="00AA34F1"/>
    <w:rsid w:val="00AA4D64"/>
    <w:rsid w:val="00AA615E"/>
    <w:rsid w:val="00AB1655"/>
    <w:rsid w:val="00AB222F"/>
    <w:rsid w:val="00AB320E"/>
    <w:rsid w:val="00AB3898"/>
    <w:rsid w:val="00AB5711"/>
    <w:rsid w:val="00AB62C3"/>
    <w:rsid w:val="00AC062A"/>
    <w:rsid w:val="00AC20BA"/>
    <w:rsid w:val="00AC367F"/>
    <w:rsid w:val="00AD2E3D"/>
    <w:rsid w:val="00AD4054"/>
    <w:rsid w:val="00AD48BA"/>
    <w:rsid w:val="00AD4D25"/>
    <w:rsid w:val="00AD56A4"/>
    <w:rsid w:val="00AD5994"/>
    <w:rsid w:val="00AD7D20"/>
    <w:rsid w:val="00AE0C1D"/>
    <w:rsid w:val="00AE21D4"/>
    <w:rsid w:val="00AE29FF"/>
    <w:rsid w:val="00AE2DCB"/>
    <w:rsid w:val="00AE3305"/>
    <w:rsid w:val="00AE355C"/>
    <w:rsid w:val="00AE57C8"/>
    <w:rsid w:val="00AE57E6"/>
    <w:rsid w:val="00AE695D"/>
    <w:rsid w:val="00AE710E"/>
    <w:rsid w:val="00AE7270"/>
    <w:rsid w:val="00AF028C"/>
    <w:rsid w:val="00AF38BF"/>
    <w:rsid w:val="00AF48BB"/>
    <w:rsid w:val="00AF6BF7"/>
    <w:rsid w:val="00B04C38"/>
    <w:rsid w:val="00B066CE"/>
    <w:rsid w:val="00B07563"/>
    <w:rsid w:val="00B1082E"/>
    <w:rsid w:val="00B125AE"/>
    <w:rsid w:val="00B12ACD"/>
    <w:rsid w:val="00B12EAB"/>
    <w:rsid w:val="00B12FC8"/>
    <w:rsid w:val="00B14030"/>
    <w:rsid w:val="00B16E4B"/>
    <w:rsid w:val="00B20EAA"/>
    <w:rsid w:val="00B22752"/>
    <w:rsid w:val="00B25FB0"/>
    <w:rsid w:val="00B26B69"/>
    <w:rsid w:val="00B30302"/>
    <w:rsid w:val="00B3062A"/>
    <w:rsid w:val="00B31509"/>
    <w:rsid w:val="00B31574"/>
    <w:rsid w:val="00B31CE5"/>
    <w:rsid w:val="00B35235"/>
    <w:rsid w:val="00B3699F"/>
    <w:rsid w:val="00B36A26"/>
    <w:rsid w:val="00B36EEC"/>
    <w:rsid w:val="00B40088"/>
    <w:rsid w:val="00B437BE"/>
    <w:rsid w:val="00B44221"/>
    <w:rsid w:val="00B45A91"/>
    <w:rsid w:val="00B479E5"/>
    <w:rsid w:val="00B51892"/>
    <w:rsid w:val="00B52BE0"/>
    <w:rsid w:val="00B530E4"/>
    <w:rsid w:val="00B533AA"/>
    <w:rsid w:val="00B53E1B"/>
    <w:rsid w:val="00B54986"/>
    <w:rsid w:val="00B56A9D"/>
    <w:rsid w:val="00B608AD"/>
    <w:rsid w:val="00B623CC"/>
    <w:rsid w:val="00B711A4"/>
    <w:rsid w:val="00B73194"/>
    <w:rsid w:val="00B74F02"/>
    <w:rsid w:val="00B75AD3"/>
    <w:rsid w:val="00B8081F"/>
    <w:rsid w:val="00B80C81"/>
    <w:rsid w:val="00B83ED1"/>
    <w:rsid w:val="00B843D2"/>
    <w:rsid w:val="00B8503F"/>
    <w:rsid w:val="00B85640"/>
    <w:rsid w:val="00B85E72"/>
    <w:rsid w:val="00B8695B"/>
    <w:rsid w:val="00B86E77"/>
    <w:rsid w:val="00B91E04"/>
    <w:rsid w:val="00B93754"/>
    <w:rsid w:val="00B93FEE"/>
    <w:rsid w:val="00B9477C"/>
    <w:rsid w:val="00B97FF0"/>
    <w:rsid w:val="00BA0291"/>
    <w:rsid w:val="00BA154B"/>
    <w:rsid w:val="00BA221B"/>
    <w:rsid w:val="00BA3513"/>
    <w:rsid w:val="00BA3CE7"/>
    <w:rsid w:val="00BA402C"/>
    <w:rsid w:val="00BA49A6"/>
    <w:rsid w:val="00BA65F7"/>
    <w:rsid w:val="00BB1FF9"/>
    <w:rsid w:val="00BB29DC"/>
    <w:rsid w:val="00BB4BBF"/>
    <w:rsid w:val="00BB52AE"/>
    <w:rsid w:val="00BB6D96"/>
    <w:rsid w:val="00BC4D8A"/>
    <w:rsid w:val="00BC5E92"/>
    <w:rsid w:val="00BD22EB"/>
    <w:rsid w:val="00BD3F01"/>
    <w:rsid w:val="00BD44F5"/>
    <w:rsid w:val="00BD46F0"/>
    <w:rsid w:val="00BE1FCB"/>
    <w:rsid w:val="00BE3682"/>
    <w:rsid w:val="00BE4EC5"/>
    <w:rsid w:val="00BE7B5B"/>
    <w:rsid w:val="00BF4137"/>
    <w:rsid w:val="00BF4800"/>
    <w:rsid w:val="00BF4A74"/>
    <w:rsid w:val="00BF5CCE"/>
    <w:rsid w:val="00BF6144"/>
    <w:rsid w:val="00BF6326"/>
    <w:rsid w:val="00C023C8"/>
    <w:rsid w:val="00C03336"/>
    <w:rsid w:val="00C04115"/>
    <w:rsid w:val="00C0428F"/>
    <w:rsid w:val="00C04FD7"/>
    <w:rsid w:val="00C05250"/>
    <w:rsid w:val="00C062CA"/>
    <w:rsid w:val="00C067FC"/>
    <w:rsid w:val="00C07BD7"/>
    <w:rsid w:val="00C14C1F"/>
    <w:rsid w:val="00C21AF9"/>
    <w:rsid w:val="00C25642"/>
    <w:rsid w:val="00C27972"/>
    <w:rsid w:val="00C301C4"/>
    <w:rsid w:val="00C30C6D"/>
    <w:rsid w:val="00C358E4"/>
    <w:rsid w:val="00C35C8A"/>
    <w:rsid w:val="00C3663E"/>
    <w:rsid w:val="00C377ED"/>
    <w:rsid w:val="00C50F6C"/>
    <w:rsid w:val="00C52C80"/>
    <w:rsid w:val="00C54BD9"/>
    <w:rsid w:val="00C55BFB"/>
    <w:rsid w:val="00C56189"/>
    <w:rsid w:val="00C5664B"/>
    <w:rsid w:val="00C6072E"/>
    <w:rsid w:val="00C6090B"/>
    <w:rsid w:val="00C61BD9"/>
    <w:rsid w:val="00C65B0C"/>
    <w:rsid w:val="00C6753F"/>
    <w:rsid w:val="00C70530"/>
    <w:rsid w:val="00C71E70"/>
    <w:rsid w:val="00C71F75"/>
    <w:rsid w:val="00C751A0"/>
    <w:rsid w:val="00C76A4E"/>
    <w:rsid w:val="00C8149D"/>
    <w:rsid w:val="00C8287F"/>
    <w:rsid w:val="00C82C5A"/>
    <w:rsid w:val="00C82CB4"/>
    <w:rsid w:val="00C9596B"/>
    <w:rsid w:val="00C95DB7"/>
    <w:rsid w:val="00C95E5F"/>
    <w:rsid w:val="00C96557"/>
    <w:rsid w:val="00CA1D25"/>
    <w:rsid w:val="00CA68BB"/>
    <w:rsid w:val="00CA736B"/>
    <w:rsid w:val="00CB0A42"/>
    <w:rsid w:val="00CB1951"/>
    <w:rsid w:val="00CB2B95"/>
    <w:rsid w:val="00CB6D5A"/>
    <w:rsid w:val="00CC0BBD"/>
    <w:rsid w:val="00CC1904"/>
    <w:rsid w:val="00CC215E"/>
    <w:rsid w:val="00CC2D41"/>
    <w:rsid w:val="00CC4AC1"/>
    <w:rsid w:val="00CC555B"/>
    <w:rsid w:val="00CC63C1"/>
    <w:rsid w:val="00CC7654"/>
    <w:rsid w:val="00CD0610"/>
    <w:rsid w:val="00CD14D5"/>
    <w:rsid w:val="00CD158C"/>
    <w:rsid w:val="00CD59F3"/>
    <w:rsid w:val="00CD6652"/>
    <w:rsid w:val="00CD77C6"/>
    <w:rsid w:val="00CE03F3"/>
    <w:rsid w:val="00CE1C8B"/>
    <w:rsid w:val="00CE2C73"/>
    <w:rsid w:val="00CE3815"/>
    <w:rsid w:val="00CE3CB4"/>
    <w:rsid w:val="00CE6A3F"/>
    <w:rsid w:val="00CE7E10"/>
    <w:rsid w:val="00CF450C"/>
    <w:rsid w:val="00CF49C7"/>
    <w:rsid w:val="00CF5CDA"/>
    <w:rsid w:val="00CF728F"/>
    <w:rsid w:val="00CF7837"/>
    <w:rsid w:val="00D00F16"/>
    <w:rsid w:val="00D01CBD"/>
    <w:rsid w:val="00D03B2C"/>
    <w:rsid w:val="00D04ADE"/>
    <w:rsid w:val="00D05F86"/>
    <w:rsid w:val="00D06058"/>
    <w:rsid w:val="00D063D3"/>
    <w:rsid w:val="00D06BFC"/>
    <w:rsid w:val="00D071C4"/>
    <w:rsid w:val="00D101C4"/>
    <w:rsid w:val="00D11934"/>
    <w:rsid w:val="00D12C67"/>
    <w:rsid w:val="00D14FCC"/>
    <w:rsid w:val="00D1500E"/>
    <w:rsid w:val="00D15CCE"/>
    <w:rsid w:val="00D1601E"/>
    <w:rsid w:val="00D173AC"/>
    <w:rsid w:val="00D240B6"/>
    <w:rsid w:val="00D2565E"/>
    <w:rsid w:val="00D270B1"/>
    <w:rsid w:val="00D27450"/>
    <w:rsid w:val="00D318D9"/>
    <w:rsid w:val="00D31A91"/>
    <w:rsid w:val="00D3288A"/>
    <w:rsid w:val="00D358FA"/>
    <w:rsid w:val="00D36950"/>
    <w:rsid w:val="00D378BE"/>
    <w:rsid w:val="00D40817"/>
    <w:rsid w:val="00D41269"/>
    <w:rsid w:val="00D42C60"/>
    <w:rsid w:val="00D436C2"/>
    <w:rsid w:val="00D44F37"/>
    <w:rsid w:val="00D46D86"/>
    <w:rsid w:val="00D508DA"/>
    <w:rsid w:val="00D50C28"/>
    <w:rsid w:val="00D52E1B"/>
    <w:rsid w:val="00D5308C"/>
    <w:rsid w:val="00D56801"/>
    <w:rsid w:val="00D62791"/>
    <w:rsid w:val="00D64ACA"/>
    <w:rsid w:val="00D6594E"/>
    <w:rsid w:val="00D70F77"/>
    <w:rsid w:val="00D71918"/>
    <w:rsid w:val="00D72474"/>
    <w:rsid w:val="00D727EB"/>
    <w:rsid w:val="00D729F4"/>
    <w:rsid w:val="00D751DB"/>
    <w:rsid w:val="00D76986"/>
    <w:rsid w:val="00D77C61"/>
    <w:rsid w:val="00D802A3"/>
    <w:rsid w:val="00D830A7"/>
    <w:rsid w:val="00D87F6F"/>
    <w:rsid w:val="00D9035E"/>
    <w:rsid w:val="00D909A1"/>
    <w:rsid w:val="00D90DE0"/>
    <w:rsid w:val="00D91FD4"/>
    <w:rsid w:val="00D92111"/>
    <w:rsid w:val="00D94C74"/>
    <w:rsid w:val="00D9540C"/>
    <w:rsid w:val="00DA3A39"/>
    <w:rsid w:val="00DA7D1A"/>
    <w:rsid w:val="00DB0F35"/>
    <w:rsid w:val="00DB25CB"/>
    <w:rsid w:val="00DB58AE"/>
    <w:rsid w:val="00DB7AF2"/>
    <w:rsid w:val="00DC3593"/>
    <w:rsid w:val="00DC41C5"/>
    <w:rsid w:val="00DC58BB"/>
    <w:rsid w:val="00DC60B7"/>
    <w:rsid w:val="00DC616C"/>
    <w:rsid w:val="00DC6C21"/>
    <w:rsid w:val="00DC7457"/>
    <w:rsid w:val="00DD175C"/>
    <w:rsid w:val="00DD3513"/>
    <w:rsid w:val="00DD37B4"/>
    <w:rsid w:val="00DD44EE"/>
    <w:rsid w:val="00DD4B47"/>
    <w:rsid w:val="00DD7EB4"/>
    <w:rsid w:val="00DE53AF"/>
    <w:rsid w:val="00DE59F8"/>
    <w:rsid w:val="00DE7658"/>
    <w:rsid w:val="00DF0CCC"/>
    <w:rsid w:val="00DF1B20"/>
    <w:rsid w:val="00DF1FDD"/>
    <w:rsid w:val="00DF28AF"/>
    <w:rsid w:val="00DF50B1"/>
    <w:rsid w:val="00DF578C"/>
    <w:rsid w:val="00E00409"/>
    <w:rsid w:val="00E0129A"/>
    <w:rsid w:val="00E015CB"/>
    <w:rsid w:val="00E019DD"/>
    <w:rsid w:val="00E04BBB"/>
    <w:rsid w:val="00E0541F"/>
    <w:rsid w:val="00E065D2"/>
    <w:rsid w:val="00E06860"/>
    <w:rsid w:val="00E1105B"/>
    <w:rsid w:val="00E149C0"/>
    <w:rsid w:val="00E17668"/>
    <w:rsid w:val="00E17F1E"/>
    <w:rsid w:val="00E20728"/>
    <w:rsid w:val="00E207C8"/>
    <w:rsid w:val="00E21163"/>
    <w:rsid w:val="00E254D9"/>
    <w:rsid w:val="00E257C4"/>
    <w:rsid w:val="00E328C7"/>
    <w:rsid w:val="00E33C8E"/>
    <w:rsid w:val="00E35809"/>
    <w:rsid w:val="00E35AE8"/>
    <w:rsid w:val="00E36AF4"/>
    <w:rsid w:val="00E3768A"/>
    <w:rsid w:val="00E37966"/>
    <w:rsid w:val="00E4177F"/>
    <w:rsid w:val="00E437C6"/>
    <w:rsid w:val="00E439C8"/>
    <w:rsid w:val="00E4673B"/>
    <w:rsid w:val="00E46AA4"/>
    <w:rsid w:val="00E5042A"/>
    <w:rsid w:val="00E51FE6"/>
    <w:rsid w:val="00E525A7"/>
    <w:rsid w:val="00E603D6"/>
    <w:rsid w:val="00E61384"/>
    <w:rsid w:val="00E637B3"/>
    <w:rsid w:val="00E644E9"/>
    <w:rsid w:val="00E67073"/>
    <w:rsid w:val="00E7186A"/>
    <w:rsid w:val="00E72B03"/>
    <w:rsid w:val="00E75AB2"/>
    <w:rsid w:val="00E80240"/>
    <w:rsid w:val="00E811BD"/>
    <w:rsid w:val="00E81FB6"/>
    <w:rsid w:val="00E87A32"/>
    <w:rsid w:val="00E87F8D"/>
    <w:rsid w:val="00E90C21"/>
    <w:rsid w:val="00E91059"/>
    <w:rsid w:val="00E9232D"/>
    <w:rsid w:val="00E943AB"/>
    <w:rsid w:val="00E949C0"/>
    <w:rsid w:val="00E95548"/>
    <w:rsid w:val="00E970A1"/>
    <w:rsid w:val="00E97901"/>
    <w:rsid w:val="00EA02D0"/>
    <w:rsid w:val="00EA20C5"/>
    <w:rsid w:val="00EA24C3"/>
    <w:rsid w:val="00EA3EA9"/>
    <w:rsid w:val="00EA4D25"/>
    <w:rsid w:val="00EA50C5"/>
    <w:rsid w:val="00EA5E16"/>
    <w:rsid w:val="00EA66B4"/>
    <w:rsid w:val="00EB03A8"/>
    <w:rsid w:val="00EB3A5A"/>
    <w:rsid w:val="00EB563D"/>
    <w:rsid w:val="00EB5E0B"/>
    <w:rsid w:val="00EC206A"/>
    <w:rsid w:val="00EC35F1"/>
    <w:rsid w:val="00EC5703"/>
    <w:rsid w:val="00EC643D"/>
    <w:rsid w:val="00EC76D0"/>
    <w:rsid w:val="00ED1AC8"/>
    <w:rsid w:val="00ED3E9D"/>
    <w:rsid w:val="00ED48E7"/>
    <w:rsid w:val="00ED5EEB"/>
    <w:rsid w:val="00ED6C7D"/>
    <w:rsid w:val="00ED7D56"/>
    <w:rsid w:val="00EE05D4"/>
    <w:rsid w:val="00EE0EA0"/>
    <w:rsid w:val="00EE1E0E"/>
    <w:rsid w:val="00EE24A8"/>
    <w:rsid w:val="00EE4C0A"/>
    <w:rsid w:val="00EE60F6"/>
    <w:rsid w:val="00EE6D7B"/>
    <w:rsid w:val="00EE7B04"/>
    <w:rsid w:val="00EF01F3"/>
    <w:rsid w:val="00EF1ECA"/>
    <w:rsid w:val="00EF28BF"/>
    <w:rsid w:val="00F01071"/>
    <w:rsid w:val="00F079DE"/>
    <w:rsid w:val="00F11C6F"/>
    <w:rsid w:val="00F122C9"/>
    <w:rsid w:val="00F129E5"/>
    <w:rsid w:val="00F13744"/>
    <w:rsid w:val="00F14D00"/>
    <w:rsid w:val="00F15EE7"/>
    <w:rsid w:val="00F178E8"/>
    <w:rsid w:val="00F20502"/>
    <w:rsid w:val="00F245F0"/>
    <w:rsid w:val="00F27F24"/>
    <w:rsid w:val="00F3047B"/>
    <w:rsid w:val="00F30D3E"/>
    <w:rsid w:val="00F31A7B"/>
    <w:rsid w:val="00F33418"/>
    <w:rsid w:val="00F334EB"/>
    <w:rsid w:val="00F33C89"/>
    <w:rsid w:val="00F359D1"/>
    <w:rsid w:val="00F371F7"/>
    <w:rsid w:val="00F37453"/>
    <w:rsid w:val="00F40AD3"/>
    <w:rsid w:val="00F413A7"/>
    <w:rsid w:val="00F415F5"/>
    <w:rsid w:val="00F4288B"/>
    <w:rsid w:val="00F42F78"/>
    <w:rsid w:val="00F5232F"/>
    <w:rsid w:val="00F52959"/>
    <w:rsid w:val="00F52ED7"/>
    <w:rsid w:val="00F56719"/>
    <w:rsid w:val="00F5674F"/>
    <w:rsid w:val="00F6080B"/>
    <w:rsid w:val="00F6241E"/>
    <w:rsid w:val="00F63B24"/>
    <w:rsid w:val="00F65772"/>
    <w:rsid w:val="00F71683"/>
    <w:rsid w:val="00F716E7"/>
    <w:rsid w:val="00F72437"/>
    <w:rsid w:val="00F7319A"/>
    <w:rsid w:val="00F734DD"/>
    <w:rsid w:val="00F73517"/>
    <w:rsid w:val="00F73541"/>
    <w:rsid w:val="00F82ED7"/>
    <w:rsid w:val="00F85E30"/>
    <w:rsid w:val="00F872AF"/>
    <w:rsid w:val="00F87E33"/>
    <w:rsid w:val="00F9222C"/>
    <w:rsid w:val="00F93E69"/>
    <w:rsid w:val="00F9527E"/>
    <w:rsid w:val="00F9742C"/>
    <w:rsid w:val="00F97801"/>
    <w:rsid w:val="00FA0A37"/>
    <w:rsid w:val="00FA0FC2"/>
    <w:rsid w:val="00FA5F24"/>
    <w:rsid w:val="00FB0CA4"/>
    <w:rsid w:val="00FB1477"/>
    <w:rsid w:val="00FB1B40"/>
    <w:rsid w:val="00FB1B56"/>
    <w:rsid w:val="00FB4013"/>
    <w:rsid w:val="00FC031F"/>
    <w:rsid w:val="00FC2AC9"/>
    <w:rsid w:val="00FC3810"/>
    <w:rsid w:val="00FC45D6"/>
    <w:rsid w:val="00FD0195"/>
    <w:rsid w:val="00FE0BEB"/>
    <w:rsid w:val="00FE0E2C"/>
    <w:rsid w:val="00FE1AD7"/>
    <w:rsid w:val="00FE2D2F"/>
    <w:rsid w:val="00FE2F38"/>
    <w:rsid w:val="00FE32A9"/>
    <w:rsid w:val="00FE3DF2"/>
    <w:rsid w:val="00FE52C6"/>
    <w:rsid w:val="00FE5970"/>
    <w:rsid w:val="00FF7247"/>
    <w:rsid w:val="024B6D9D"/>
    <w:rsid w:val="05101436"/>
    <w:rsid w:val="097F2BEB"/>
    <w:rsid w:val="0B936688"/>
    <w:rsid w:val="0BEE285E"/>
    <w:rsid w:val="1076309E"/>
    <w:rsid w:val="17CB0CC4"/>
    <w:rsid w:val="19337922"/>
    <w:rsid w:val="1BC410E1"/>
    <w:rsid w:val="25D17A1A"/>
    <w:rsid w:val="27FF36FC"/>
    <w:rsid w:val="29220DB2"/>
    <w:rsid w:val="2DB8726C"/>
    <w:rsid w:val="30343F20"/>
    <w:rsid w:val="303E30F4"/>
    <w:rsid w:val="338E75E9"/>
    <w:rsid w:val="35235400"/>
    <w:rsid w:val="38A7068E"/>
    <w:rsid w:val="3CFA3F95"/>
    <w:rsid w:val="3D670487"/>
    <w:rsid w:val="3F5619C7"/>
    <w:rsid w:val="421767CA"/>
    <w:rsid w:val="45457289"/>
    <w:rsid w:val="542A1553"/>
    <w:rsid w:val="54B409D8"/>
    <w:rsid w:val="54DB1387"/>
    <w:rsid w:val="5B3D0495"/>
    <w:rsid w:val="606F1040"/>
    <w:rsid w:val="60B56A8F"/>
    <w:rsid w:val="68CE780E"/>
    <w:rsid w:val="6AA234B8"/>
    <w:rsid w:val="713F1AFB"/>
    <w:rsid w:val="7B3E4354"/>
    <w:rsid w:val="7D3C006F"/>
    <w:rsid w:val="7F6423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0" w:name="macro" w:locked="1"/>
    <w:lsdException w:uiPriority="99" w:name="toa heading"/>
    <w:lsdException w:uiPriority="99" w:name="List"/>
    <w:lsdException w:unhideWhenUsed="0" w:uiPriority="0" w:semiHidden="0" w:name="List Bullet" w:locked="1"/>
    <w:lsdException w:uiPriority="0" w:name="List Number" w:locked="1"/>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spacing w:before="340" w:after="330" w:line="578" w:lineRule="auto"/>
      <w:jc w:val="center"/>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9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99"/>
    <w:pPr>
      <w:ind w:left="1260"/>
      <w:jc w:val="left"/>
    </w:pPr>
    <w:rPr>
      <w:sz w:val="18"/>
      <w:szCs w:val="18"/>
    </w:rPr>
  </w:style>
  <w:style w:type="paragraph" w:styleId="6">
    <w:name w:val="caption"/>
    <w:basedOn w:val="1"/>
    <w:next w:val="1"/>
    <w:qFormat/>
    <w:uiPriority w:val="99"/>
    <w:rPr>
      <w:rFonts w:ascii="等线 Light" w:hAnsi="等线 Light" w:eastAsia="黑体"/>
      <w:sz w:val="20"/>
      <w:szCs w:val="20"/>
    </w:rPr>
  </w:style>
  <w:style w:type="paragraph" w:styleId="7">
    <w:name w:val="Document Map"/>
    <w:basedOn w:val="1"/>
    <w:link w:val="42"/>
    <w:semiHidden/>
    <w:qFormat/>
    <w:uiPriority w:val="99"/>
    <w:pPr>
      <w:shd w:val="clear" w:color="auto" w:fill="000080"/>
    </w:pPr>
  </w:style>
  <w:style w:type="paragraph" w:styleId="8">
    <w:name w:val="annotation text"/>
    <w:basedOn w:val="1"/>
    <w:link w:val="35"/>
    <w:semiHidden/>
    <w:qFormat/>
    <w:uiPriority w:val="99"/>
    <w:pPr>
      <w:jc w:val="left"/>
    </w:pPr>
  </w:style>
  <w:style w:type="paragraph" w:styleId="9">
    <w:name w:val="toc 5"/>
    <w:basedOn w:val="1"/>
    <w:next w:val="1"/>
    <w:semiHidden/>
    <w:qFormat/>
    <w:uiPriority w:val="99"/>
    <w:pPr>
      <w:ind w:left="840"/>
      <w:jc w:val="left"/>
    </w:pPr>
    <w:rPr>
      <w:sz w:val="18"/>
      <w:szCs w:val="18"/>
    </w:rPr>
  </w:style>
  <w:style w:type="paragraph" w:styleId="10">
    <w:name w:val="toc 3"/>
    <w:basedOn w:val="1"/>
    <w:next w:val="1"/>
    <w:qFormat/>
    <w:uiPriority w:val="99"/>
    <w:pPr>
      <w:ind w:left="420"/>
      <w:jc w:val="left"/>
    </w:pPr>
    <w:rPr>
      <w:i/>
      <w:iCs/>
      <w:sz w:val="20"/>
      <w:szCs w:val="20"/>
    </w:rPr>
  </w:style>
  <w:style w:type="paragraph" w:styleId="11">
    <w:name w:val="toc 8"/>
    <w:basedOn w:val="1"/>
    <w:next w:val="1"/>
    <w:semiHidden/>
    <w:qFormat/>
    <w:uiPriority w:val="99"/>
    <w:pPr>
      <w:ind w:left="1470"/>
      <w:jc w:val="left"/>
    </w:pPr>
    <w:rPr>
      <w:sz w:val="18"/>
      <w:szCs w:val="18"/>
    </w:rPr>
  </w:style>
  <w:style w:type="paragraph" w:styleId="12">
    <w:name w:val="Date"/>
    <w:basedOn w:val="1"/>
    <w:next w:val="1"/>
    <w:link w:val="40"/>
    <w:qFormat/>
    <w:uiPriority w:val="99"/>
    <w:pPr>
      <w:ind w:left="100" w:leftChars="2500"/>
    </w:pPr>
  </w:style>
  <w:style w:type="paragraph" w:styleId="13">
    <w:name w:val="Body Text Indent 2"/>
    <w:basedOn w:val="1"/>
    <w:link w:val="33"/>
    <w:qFormat/>
    <w:uiPriority w:val="99"/>
    <w:pPr>
      <w:ind w:firstLine="560" w:firstLineChars="200"/>
    </w:pPr>
    <w:rPr>
      <w:rFonts w:ascii="仿宋_GB2312" w:hAnsi="宋体" w:eastAsia="仿宋_GB2312"/>
      <w:sz w:val="28"/>
    </w:rPr>
  </w:style>
  <w:style w:type="paragraph" w:styleId="14">
    <w:name w:val="Balloon Text"/>
    <w:basedOn w:val="1"/>
    <w:link w:val="34"/>
    <w:semiHidden/>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spacing w:before="120" w:after="120"/>
      <w:jc w:val="left"/>
    </w:pPr>
    <w:rPr>
      <w:b/>
      <w:bCs/>
      <w:caps/>
      <w:sz w:val="20"/>
      <w:szCs w:val="20"/>
    </w:rPr>
  </w:style>
  <w:style w:type="paragraph" w:styleId="18">
    <w:name w:val="toc 4"/>
    <w:basedOn w:val="1"/>
    <w:next w:val="1"/>
    <w:semiHidden/>
    <w:qFormat/>
    <w:uiPriority w:val="99"/>
    <w:pPr>
      <w:ind w:left="630"/>
      <w:jc w:val="left"/>
    </w:pPr>
    <w:rPr>
      <w:sz w:val="18"/>
      <w:szCs w:val="18"/>
    </w:rPr>
  </w:style>
  <w:style w:type="paragraph" w:styleId="19">
    <w:name w:val="toc 6"/>
    <w:basedOn w:val="1"/>
    <w:next w:val="1"/>
    <w:semiHidden/>
    <w:qFormat/>
    <w:uiPriority w:val="99"/>
    <w:pPr>
      <w:ind w:left="1050"/>
      <w:jc w:val="left"/>
    </w:pPr>
    <w:rPr>
      <w:sz w:val="18"/>
      <w:szCs w:val="18"/>
    </w:rPr>
  </w:style>
  <w:style w:type="paragraph" w:styleId="20">
    <w:name w:val="toc 2"/>
    <w:basedOn w:val="1"/>
    <w:next w:val="1"/>
    <w:qFormat/>
    <w:uiPriority w:val="99"/>
    <w:pPr>
      <w:ind w:left="210"/>
      <w:jc w:val="left"/>
    </w:pPr>
    <w:rPr>
      <w:smallCaps/>
      <w:sz w:val="20"/>
      <w:szCs w:val="20"/>
    </w:rPr>
  </w:style>
  <w:style w:type="paragraph" w:styleId="21">
    <w:name w:val="toc 9"/>
    <w:basedOn w:val="1"/>
    <w:next w:val="1"/>
    <w:semiHidden/>
    <w:qFormat/>
    <w:uiPriority w:val="99"/>
    <w:pPr>
      <w:ind w:left="1680"/>
      <w:jc w:val="left"/>
    </w:pPr>
    <w:rPr>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8"/>
    <w:next w:val="8"/>
    <w:link w:val="41"/>
    <w:semiHidden/>
    <w:qFormat/>
    <w:uiPriority w:val="99"/>
    <w:rPr>
      <w:b/>
      <w:bCs/>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Hyperlink"/>
    <w:qFormat/>
    <w:uiPriority w:val="99"/>
    <w:rPr>
      <w:rFonts w:cs="Times New Roman"/>
      <w:color w:val="0000FF"/>
      <w:u w:val="single"/>
    </w:rPr>
  </w:style>
  <w:style w:type="character" w:styleId="29">
    <w:name w:val="annotation reference"/>
    <w:semiHidden/>
    <w:qFormat/>
    <w:uiPriority w:val="99"/>
    <w:rPr>
      <w:rFonts w:cs="Times New Roman"/>
      <w:sz w:val="21"/>
    </w:rPr>
  </w:style>
  <w:style w:type="character" w:customStyle="1" w:styleId="30">
    <w:name w:val="标题 1 Char"/>
    <w:link w:val="2"/>
    <w:qFormat/>
    <w:locked/>
    <w:uiPriority w:val="99"/>
    <w:rPr>
      <w:rFonts w:cs="Times New Roman"/>
      <w:b/>
      <w:bCs/>
      <w:kern w:val="44"/>
      <w:sz w:val="44"/>
      <w:szCs w:val="44"/>
    </w:rPr>
  </w:style>
  <w:style w:type="character" w:customStyle="1" w:styleId="31">
    <w:name w:val="标题 2 Char"/>
    <w:link w:val="3"/>
    <w:semiHidden/>
    <w:qFormat/>
    <w:locked/>
    <w:uiPriority w:val="99"/>
    <w:rPr>
      <w:rFonts w:ascii="Cambria" w:hAnsi="Cambria" w:eastAsia="宋体" w:cs="Times New Roman"/>
      <w:b/>
      <w:bCs/>
      <w:sz w:val="32"/>
      <w:szCs w:val="32"/>
    </w:rPr>
  </w:style>
  <w:style w:type="character" w:customStyle="1" w:styleId="32">
    <w:name w:val="标题 3 Char"/>
    <w:link w:val="4"/>
    <w:semiHidden/>
    <w:qFormat/>
    <w:locked/>
    <w:uiPriority w:val="99"/>
    <w:rPr>
      <w:rFonts w:cs="Times New Roman"/>
      <w:b/>
      <w:bCs/>
      <w:sz w:val="32"/>
      <w:szCs w:val="32"/>
    </w:rPr>
  </w:style>
  <w:style w:type="character" w:customStyle="1" w:styleId="33">
    <w:name w:val="正文文本缩进 2 Char"/>
    <w:link w:val="13"/>
    <w:semiHidden/>
    <w:qFormat/>
    <w:locked/>
    <w:uiPriority w:val="99"/>
    <w:rPr>
      <w:rFonts w:cs="Times New Roman"/>
      <w:sz w:val="24"/>
      <w:szCs w:val="24"/>
    </w:rPr>
  </w:style>
  <w:style w:type="character" w:customStyle="1" w:styleId="34">
    <w:name w:val="批注框文本 Char"/>
    <w:link w:val="14"/>
    <w:semiHidden/>
    <w:qFormat/>
    <w:locked/>
    <w:uiPriority w:val="99"/>
    <w:rPr>
      <w:rFonts w:cs="Times New Roman"/>
      <w:sz w:val="2"/>
    </w:rPr>
  </w:style>
  <w:style w:type="character" w:customStyle="1" w:styleId="35">
    <w:name w:val="批注文字 Char"/>
    <w:link w:val="8"/>
    <w:semiHidden/>
    <w:qFormat/>
    <w:locked/>
    <w:uiPriority w:val="99"/>
    <w:rPr>
      <w:rFonts w:cs="Times New Roman"/>
      <w:sz w:val="24"/>
      <w:szCs w:val="24"/>
    </w:rPr>
  </w:style>
  <w:style w:type="paragraph" w:customStyle="1" w:styleId="36">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37">
    <w:name w:val="页眉 Char"/>
    <w:link w:val="16"/>
    <w:qFormat/>
    <w:locked/>
    <w:uiPriority w:val="99"/>
    <w:rPr>
      <w:rFonts w:cs="Times New Roman"/>
      <w:kern w:val="2"/>
      <w:sz w:val="18"/>
    </w:rPr>
  </w:style>
  <w:style w:type="character" w:customStyle="1" w:styleId="38">
    <w:name w:val="页脚 Char"/>
    <w:link w:val="15"/>
    <w:qFormat/>
    <w:locked/>
    <w:uiPriority w:val="99"/>
    <w:rPr>
      <w:rFonts w:cs="Times New Roman"/>
      <w:kern w:val="2"/>
      <w:sz w:val="18"/>
    </w:rPr>
  </w:style>
  <w:style w:type="paragraph" w:customStyle="1" w:styleId="39">
    <w:name w:val="样式 标题 1 + 三号 段前: 7.8 磅 段后: 7.8 磅"/>
    <w:basedOn w:val="2"/>
    <w:qFormat/>
    <w:uiPriority w:val="0"/>
    <w:pPr>
      <w:spacing w:before="156" w:after="156"/>
      <w:outlineLvl w:val="1"/>
    </w:pPr>
    <w:rPr>
      <w:rFonts w:cs="宋体"/>
      <w:sz w:val="32"/>
      <w:szCs w:val="20"/>
    </w:rPr>
  </w:style>
  <w:style w:type="character" w:customStyle="1" w:styleId="40">
    <w:name w:val="日期 Char"/>
    <w:link w:val="12"/>
    <w:semiHidden/>
    <w:qFormat/>
    <w:locked/>
    <w:uiPriority w:val="99"/>
    <w:rPr>
      <w:rFonts w:cs="Times New Roman"/>
      <w:sz w:val="24"/>
      <w:szCs w:val="24"/>
    </w:rPr>
  </w:style>
  <w:style w:type="character" w:customStyle="1" w:styleId="41">
    <w:name w:val="批注主题 Char"/>
    <w:link w:val="23"/>
    <w:semiHidden/>
    <w:qFormat/>
    <w:locked/>
    <w:uiPriority w:val="99"/>
    <w:rPr>
      <w:rFonts w:cs="Times New Roman"/>
      <w:b/>
      <w:bCs/>
      <w:sz w:val="24"/>
      <w:szCs w:val="24"/>
    </w:rPr>
  </w:style>
  <w:style w:type="character" w:customStyle="1" w:styleId="42">
    <w:name w:val="文档结构图 Char"/>
    <w:link w:val="7"/>
    <w:semiHidden/>
    <w:qFormat/>
    <w:locked/>
    <w:uiPriority w:val="99"/>
    <w:rPr>
      <w:rFonts w:cs="Times New Roman"/>
      <w:sz w:val="2"/>
    </w:rPr>
  </w:style>
  <w:style w:type="paragraph" w:customStyle="1" w:styleId="43">
    <w:name w:val="样式"/>
    <w:basedOn w:val="1"/>
    <w:qFormat/>
    <w:uiPriority w:val="99"/>
    <w:pPr>
      <w:widowControl/>
      <w:spacing w:after="160" w:line="240" w:lineRule="exact"/>
      <w:jc w:val="left"/>
    </w:pPr>
  </w:style>
  <w:style w:type="paragraph" w:customStyle="1" w:styleId="44">
    <w:name w:val="Char Char Char 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45">
    <w:name w:val="TOC 标题1"/>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table" w:customStyle="1" w:styleId="46">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style61"/>
    <w:qFormat/>
    <w:uiPriority w:val="0"/>
    <w:rPr>
      <w:color w:val="000000"/>
      <w:sz w:val="20"/>
      <w:szCs w:val="20"/>
    </w:rPr>
  </w:style>
  <w:style w:type="table" w:customStyle="1" w:styleId="48">
    <w:name w:val="网格型2"/>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reader-word-layer reader-word-s3-7"/>
    <w:basedOn w:val="1"/>
    <w:qFormat/>
    <w:uiPriority w:val="0"/>
    <w:pPr>
      <w:widowControl/>
      <w:spacing w:before="100" w:beforeAutospacing="1" w:after="100" w:afterAutospacing="1"/>
      <w:jc w:val="left"/>
    </w:pPr>
    <w:rPr>
      <w:rFonts w:ascii="宋体" w:hAnsi="宋体" w:cs="宋体"/>
      <w:kern w:val="0"/>
      <w:sz w:val="24"/>
    </w:rPr>
  </w:style>
  <w:style w:type="table" w:customStyle="1" w:styleId="50">
    <w:name w:val="网格型1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font11"/>
    <w:basedOn w:val="26"/>
    <w:qFormat/>
    <w:uiPriority w:val="0"/>
    <w:rPr>
      <w:rFonts w:hint="eastAsia" w:ascii="宋体" w:hAnsi="宋体" w:eastAsia="宋体" w:cs="宋体"/>
      <w:color w:val="000000"/>
      <w:sz w:val="32"/>
      <w:szCs w:val="32"/>
      <w:u w:val="none"/>
    </w:rPr>
  </w:style>
  <w:style w:type="character" w:customStyle="1" w:styleId="52">
    <w:name w:val="font31"/>
    <w:basedOn w:val="26"/>
    <w:uiPriority w:val="0"/>
    <w:rPr>
      <w:rFonts w:hint="eastAsia" w:ascii="宋体" w:hAnsi="宋体" w:eastAsia="宋体" w:cs="宋体"/>
      <w:color w:val="000000"/>
      <w:sz w:val="20"/>
      <w:szCs w:val="20"/>
      <w:u w:val="none"/>
    </w:rPr>
  </w:style>
  <w:style w:type="character" w:customStyle="1" w:styleId="53">
    <w:name w:val="font41"/>
    <w:basedOn w:val="26"/>
    <w:qFormat/>
    <w:uiPriority w:val="0"/>
    <w:rPr>
      <w:rFonts w:hint="eastAsia" w:ascii="宋体" w:hAnsi="宋体" w:eastAsia="宋体" w:cs="宋体"/>
      <w:color w:val="000000"/>
      <w:sz w:val="21"/>
      <w:szCs w:val="21"/>
      <w:u w:val="none"/>
    </w:rPr>
  </w:style>
  <w:style w:type="character" w:customStyle="1" w:styleId="54">
    <w:name w:val="font61"/>
    <w:basedOn w:val="26"/>
    <w:qFormat/>
    <w:uiPriority w:val="0"/>
    <w:rPr>
      <w:rFonts w:hint="eastAsia" w:ascii="宋体" w:hAnsi="宋体" w:eastAsia="宋体" w:cs="宋体"/>
      <w:color w:val="000000"/>
      <w:sz w:val="21"/>
      <w:szCs w:val="21"/>
      <w:u w:val="none"/>
    </w:rPr>
  </w:style>
  <w:style w:type="character" w:customStyle="1" w:styleId="55">
    <w:name w:val="font51"/>
    <w:basedOn w:val="26"/>
    <w:qFormat/>
    <w:uiPriority w:val="0"/>
    <w:rPr>
      <w:rFonts w:hint="eastAsia" w:ascii="宋体" w:hAnsi="宋体" w:eastAsia="宋体" w:cs="宋体"/>
      <w:color w:val="000000"/>
      <w:sz w:val="20"/>
      <w:szCs w:val="20"/>
      <w:u w:val="none"/>
    </w:rPr>
  </w:style>
  <w:style w:type="character" w:customStyle="1" w:styleId="56">
    <w:name w:val="font101"/>
    <w:basedOn w:val="26"/>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ChinaTelecom</Company>
  <Pages>30</Pages>
  <Words>21211</Words>
  <Characters>21707</Characters>
  <Lines>1</Lines>
  <Paragraphs>1</Paragraphs>
  <TotalTime>3</TotalTime>
  <ScaleCrop>false</ScaleCrop>
  <LinksUpToDate>false</LinksUpToDate>
  <CharactersWithSpaces>21738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2018-05-03T14:39:00Z</dcterms:created>
  <dc:creator>Hbj</dc:creator>
  <cp:lastModifiedBy>小海</cp:lastModifiedBy>
  <cp:lastPrinted>2015-05-20T15:22:00Z</cp:lastPrinted>
  <dcterms:modified xsi:type="dcterms:W3CDTF">2021-09-27T00:33:22Z</dcterms:modified>
  <dc:title>关于编制2012级各专业人才培养方案的通知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27C52BCA8161449BB82D45F2490B0BE7</vt:lpwstr>
  </property>
</Properties>
</file>