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ind w:firstLine="0" w:firstLineChars="0"/>
        <w:jc w:val="center"/>
        <w:rPr>
          <w:rFonts w:hint="eastAsia" w:ascii="黑体" w:hAnsi="黑体" w:eastAsia="黑体"/>
          <w:b/>
          <w:color w:val="0D0D0D" w:themeColor="text1" w:themeTint="F2"/>
          <w:sz w:val="36"/>
          <w:szCs w:val="36"/>
          <w:lang w:val="en-US" w:eastAsia="zh-CN"/>
          <w14:textFill>
            <w14:solidFill>
              <w14:schemeClr w14:val="tx1">
                <w14:lumMod w14:val="95000"/>
                <w14:lumOff w14:val="5000"/>
              </w14:schemeClr>
            </w14:solidFill>
          </w14:textFill>
        </w:rPr>
      </w:pPr>
      <w:bookmarkStart w:id="21" w:name="_GoBack"/>
      <w:r>
        <w:rPr>
          <w:rFonts w:ascii="黑体" w:hAnsi="黑体" w:eastAsia="黑体"/>
          <w:b/>
          <w:color w:val="0D0D0D" w:themeColor="text1" w:themeTint="F2"/>
          <w:sz w:val="36"/>
          <w:szCs w:val="36"/>
          <w14:textFill>
            <w14:solidFill>
              <w14:schemeClr w14:val="tx1">
                <w14:lumMod w14:val="95000"/>
                <w14:lumOff w14:val="5000"/>
              </w14:schemeClr>
            </w14:solidFill>
          </w14:textFill>
        </w:rPr>
        <w:drawing>
          <wp:anchor distT="0" distB="0" distL="0" distR="0" simplePos="0" relativeHeight="251659264" behindDoc="0" locked="0" layoutInCell="1" allowOverlap="1">
            <wp:simplePos x="0" y="0"/>
            <wp:positionH relativeFrom="column">
              <wp:posOffset>728345</wp:posOffset>
            </wp:positionH>
            <wp:positionV relativeFrom="paragraph">
              <wp:posOffset>357505</wp:posOffset>
            </wp:positionV>
            <wp:extent cx="810895" cy="773430"/>
            <wp:effectExtent l="0" t="0" r="8255" b="7620"/>
            <wp:wrapNone/>
            <wp:docPr id="3" name="图片 3" descr="https://office-dingding-tmp-cn-shanghai.oss-cn-shanghai.aliyuncs.com/shapes%2F43304079932%2Ff4aa5bba6b8c37a2b14b9b1ecf8311936f1ec802?Expires=1632575409&amp;OSSAccessKeyId=LTAI4Fw3hDk6EMmYfYFyAR1u&amp;Signature=o8wp9SiViIpIzQPu0js6GWZxOS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office-dingding-tmp-cn-shanghai.oss-cn-shanghai.aliyuncs.com/shapes%2F43304079932%2Ff4aa5bba6b8c37a2b14b9b1ecf8311936f1ec802?Expires=1632575409&amp;OSSAccessKeyId=LTAI4Fw3hDk6EMmYfYFyAR1u&amp;Signature=o8wp9SiViIpIzQPu0js6GWZxOS4%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10895" cy="773430"/>
                    </a:xfrm>
                    <a:prstGeom prst="rect">
                      <a:avLst/>
                    </a:prstGeom>
                    <a:noFill/>
                    <a:ln>
                      <a:noFill/>
                    </a:ln>
                  </pic:spPr>
                </pic:pic>
              </a:graphicData>
            </a:graphic>
          </wp:anchor>
        </w:drawing>
      </w:r>
      <w:bookmarkEnd w:id="21"/>
    </w:p>
    <w:p>
      <w:pPr>
        <w:pStyle w:val="2"/>
        <w:jc w:val="center"/>
        <w:rPr>
          <w:rFonts w:hint="eastAsia" w:ascii="黑体" w:hAnsi="黑体" w:eastAsia="黑体"/>
          <w:b/>
          <w:color w:val="0D0D0D" w:themeColor="text1" w:themeTint="F2"/>
          <w:spacing w:val="34"/>
          <w:kern w:val="15"/>
          <w:sz w:val="36"/>
          <w:szCs w:val="36"/>
          <w:lang w:val="en-US" w:eastAsia="zh-CN"/>
          <w14:textFill>
            <w14:solidFill>
              <w14:schemeClr w14:val="tx1">
                <w14:lumMod w14:val="95000"/>
                <w14:lumOff w14:val="5000"/>
              </w14:schemeClr>
            </w14:solidFill>
          </w14:textFill>
        </w:rPr>
      </w:pPr>
      <w:r>
        <w:rPr>
          <w:rFonts w:hint="eastAsia" w:ascii="华文楷体" w:hAnsi="华文楷体" w:eastAsia="华文楷体" w:cs="华文楷体"/>
          <w:b/>
          <w:color w:val="0D0D0D" w:themeColor="text1" w:themeTint="F2"/>
          <w:spacing w:val="34"/>
          <w:kern w:val="15"/>
          <w:sz w:val="48"/>
          <w:szCs w:val="48"/>
          <w:lang w:val="en-US" w:eastAsia="zh-CN"/>
          <w14:textFill>
            <w14:solidFill>
              <w14:schemeClr w14:val="tx1">
                <w14:lumMod w14:val="95000"/>
                <w14:lumOff w14:val="5000"/>
              </w14:schemeClr>
            </w14:solidFill>
          </w14:textFill>
        </w:rPr>
        <w:t>绍兴市中等专业学校</w:t>
      </w:r>
    </w:p>
    <w:p>
      <w:pPr>
        <w:pStyle w:val="2"/>
        <w:jc w:val="center"/>
        <w:rPr>
          <w:rFonts w:hint="default" w:ascii="黑体" w:hAnsi="黑体" w:eastAsia="黑体"/>
          <w:b/>
          <w:color w:val="0D0D0D" w:themeColor="text1" w:themeTint="F2"/>
          <w:kern w:val="15"/>
          <w:sz w:val="28"/>
          <w:szCs w:val="28"/>
          <w:lang w:val="en-US" w:eastAsia="zh-CN"/>
          <w14:textFill>
            <w14:solidFill>
              <w14:schemeClr w14:val="tx1">
                <w14:lumMod w14:val="95000"/>
                <w14:lumOff w14:val="5000"/>
              </w14:schemeClr>
            </w14:solidFill>
          </w14:textFill>
        </w:rPr>
      </w:pPr>
      <w:r>
        <w:rPr>
          <w:rFonts w:hint="eastAsia" w:asciiTheme="minorEastAsia" w:hAnsiTheme="minorEastAsia" w:cstheme="minorEastAsia"/>
          <w:b/>
          <w:color w:val="0D0D0D" w:themeColor="text1" w:themeTint="F2"/>
          <w:kern w:val="15"/>
          <w:sz w:val="28"/>
          <w:szCs w:val="28"/>
          <w:lang w:val="en-US" w:eastAsia="zh-CN"/>
          <w14:textFill>
            <w14:solidFill>
              <w14:schemeClr w14:val="tx1">
                <w14:lumMod w14:val="95000"/>
                <w14:lumOff w14:val="5000"/>
              </w14:schemeClr>
            </w14:solidFill>
          </w14:textFill>
        </w:rPr>
        <w:t xml:space="preserve">    </w:t>
      </w:r>
      <w:r>
        <w:rPr>
          <w:rFonts w:hint="eastAsia" w:asciiTheme="minorEastAsia" w:hAnsiTheme="minorEastAsia" w:eastAsiaTheme="minorEastAsia" w:cstheme="minorEastAsia"/>
          <w:b/>
          <w:color w:val="0D0D0D" w:themeColor="text1" w:themeTint="F2"/>
          <w:kern w:val="15"/>
          <w:sz w:val="28"/>
          <w:szCs w:val="28"/>
          <w:lang w:val="en-US" w:eastAsia="zh-CN"/>
          <w14:textFill>
            <w14:solidFill>
              <w14:schemeClr w14:val="tx1">
                <w14:lumMod w14:val="95000"/>
                <w14:lumOff w14:val="5000"/>
              </w14:schemeClr>
            </w14:solidFill>
          </w14:textFill>
        </w:rPr>
        <w:t>SHAOXINGSHIZHONGDENGZHUANYEXUEXIAO</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b/>
          <w:bCs/>
          <w:color w:val="auto"/>
          <w:sz w:val="72"/>
          <w:szCs w:val="72"/>
          <w:lang w:val="en-US" w:eastAsia="zh-CN"/>
        </w:rPr>
      </w:pPr>
    </w:p>
    <w:p>
      <w:pPr>
        <w:widowControl/>
        <w:jc w:val="left"/>
        <w:rPr>
          <w:rFonts w:asciiTheme="minorEastAsia" w:hAnsiTheme="minorEastAsia" w:eastAsiaTheme="minorEastAsia"/>
          <w:color w:val="auto"/>
          <w:szCs w:val="32"/>
        </w:rPr>
      </w:pPr>
    </w:p>
    <w:p>
      <w:pPr>
        <w:overflowPunct w:val="0"/>
        <w:adjustRightInd w:val="0"/>
        <w:snapToGrid w:val="0"/>
        <w:spacing w:line="240" w:lineRule="auto"/>
        <w:ind w:firstLine="0" w:firstLineChars="0"/>
        <w:jc w:val="center"/>
        <w:rPr>
          <w:rFonts w:hint="eastAsia" w:ascii="楷体" w:hAnsi="楷体" w:eastAsia="楷体" w:cs="楷体"/>
          <w:b/>
          <w:color w:val="002060"/>
          <w:spacing w:val="20"/>
          <w:sz w:val="84"/>
          <w:szCs w:val="84"/>
          <w:lang w:val="en-US" w:eastAsia="zh-CN"/>
        </w:rPr>
      </w:pPr>
      <w:r>
        <w:rPr>
          <w:rFonts w:hint="eastAsia" w:ascii="楷体" w:hAnsi="楷体" w:eastAsia="楷体" w:cs="楷体"/>
          <w:b/>
          <w:color w:val="002060"/>
          <w:spacing w:val="20"/>
          <w:sz w:val="84"/>
          <w:szCs w:val="84"/>
          <w:lang w:val="en-US" w:eastAsia="zh-CN"/>
        </w:rPr>
        <w:t>财会经贸系</w:t>
      </w:r>
    </w:p>
    <w:p>
      <w:pPr>
        <w:overflowPunct w:val="0"/>
        <w:adjustRightInd w:val="0"/>
        <w:snapToGrid w:val="0"/>
        <w:spacing w:line="240" w:lineRule="auto"/>
        <w:ind w:left="0" w:leftChars="0" w:firstLine="0" w:firstLineChars="0"/>
        <w:jc w:val="center"/>
        <w:rPr>
          <w:rFonts w:hint="eastAsia" w:ascii="楷体" w:hAnsi="楷体" w:eastAsia="楷体" w:cs="楷体"/>
          <w:b/>
          <w:color w:val="auto"/>
          <w:sz w:val="48"/>
          <w:szCs w:val="48"/>
          <w:lang w:val="en-US" w:eastAsia="zh-CN"/>
        </w:rPr>
      </w:pPr>
      <w:r>
        <w:rPr>
          <w:rFonts w:hint="eastAsia" w:ascii="楷体" w:hAnsi="楷体" w:eastAsia="楷体" w:cs="楷体"/>
          <w:b/>
          <w:color w:val="auto"/>
          <w:sz w:val="48"/>
          <w:szCs w:val="48"/>
          <w:lang w:val="en-US" w:eastAsia="zh-CN"/>
        </w:rPr>
        <w:t>人才培养方案</w:t>
      </w:r>
    </w:p>
    <w:p>
      <w:pPr>
        <w:overflowPunct w:val="0"/>
        <w:adjustRightInd w:val="0"/>
        <w:snapToGrid w:val="0"/>
        <w:spacing w:line="360" w:lineRule="auto"/>
        <w:jc w:val="center"/>
        <w:rPr>
          <w:rFonts w:hint="eastAsia" w:ascii="黑体" w:hAnsi="黑体" w:eastAsia="黑体" w:cs="黑体"/>
          <w:b/>
          <w:color w:val="auto"/>
          <w:sz w:val="48"/>
          <w:szCs w:val="48"/>
        </w:rPr>
      </w:pPr>
    </w:p>
    <w:p>
      <w:pPr>
        <w:pStyle w:val="2"/>
        <w:rPr>
          <w:rFonts w:hint="eastAsia" w:ascii="黑体" w:hAnsi="黑体" w:eastAsia="黑体" w:cs="黑体"/>
          <w:b/>
          <w:color w:val="auto"/>
          <w:sz w:val="48"/>
          <w:szCs w:val="48"/>
        </w:rPr>
      </w:pPr>
    </w:p>
    <w:p>
      <w:pPr>
        <w:pStyle w:val="2"/>
        <w:jc w:val="both"/>
        <w:rPr>
          <w:rFonts w:hint="eastAsia" w:ascii="黑体" w:hAnsi="黑体" w:eastAsia="黑体" w:cs="黑体"/>
          <w:b/>
          <w:color w:val="auto"/>
          <w:sz w:val="48"/>
          <w:szCs w:val="48"/>
        </w:rPr>
      </w:pPr>
    </w:p>
    <w:p>
      <w:pPr>
        <w:overflowPunct w:val="0"/>
        <w:adjustRightInd w:val="0"/>
        <w:snapToGrid w:val="0"/>
        <w:spacing w:line="360" w:lineRule="auto"/>
        <w:ind w:firstLine="3000" w:firstLineChars="1000"/>
        <w:jc w:val="both"/>
        <w:rPr>
          <w:rFonts w:hint="eastAsia" w:ascii="黑体" w:hAnsi="黑体" w:eastAsia="黑体" w:cs="黑体"/>
          <w:b w:val="0"/>
          <w:bCs/>
          <w:color w:val="auto"/>
          <w:sz w:val="30"/>
          <w:szCs w:val="30"/>
          <w:lang w:val="en-US" w:eastAsia="zh-CN"/>
        </w:rPr>
      </w:pPr>
    </w:p>
    <w:p>
      <w:pPr>
        <w:overflowPunct w:val="0"/>
        <w:adjustRightInd w:val="0"/>
        <w:snapToGrid w:val="0"/>
        <w:spacing w:line="360" w:lineRule="auto"/>
        <w:ind w:firstLine="3000" w:firstLineChars="1000"/>
        <w:jc w:val="both"/>
        <w:rPr>
          <w:rFonts w:hint="default" w:ascii="黑体" w:hAnsi="黑体" w:eastAsia="黑体" w:cs="黑体"/>
          <w:b w:val="0"/>
          <w:bCs/>
          <w:color w:val="auto"/>
          <w:sz w:val="30"/>
          <w:szCs w:val="30"/>
          <w:u w:val="single"/>
          <w:lang w:val="en-US" w:eastAsia="zh-CN"/>
        </w:rPr>
      </w:pPr>
      <w:r>
        <w:rPr>
          <w:rFonts w:hint="eastAsia" w:ascii="黑体" w:hAnsi="黑体" w:eastAsia="黑体" w:cs="黑体"/>
          <w:b w:val="0"/>
          <w:bCs/>
          <w:color w:val="auto"/>
          <w:sz w:val="30"/>
          <w:szCs w:val="30"/>
          <w:lang w:val="en-US" w:eastAsia="zh-CN"/>
        </w:rPr>
        <w:t>适用专业：</w:t>
      </w:r>
      <w:r>
        <w:rPr>
          <w:rFonts w:hint="eastAsia" w:ascii="黑体" w:hAnsi="黑体" w:eastAsia="黑体" w:cs="黑体"/>
          <w:b/>
          <w:bCs w:val="0"/>
          <w:color w:val="auto"/>
          <w:sz w:val="30"/>
          <w:szCs w:val="30"/>
          <w:u w:val="single"/>
          <w:lang w:val="en-US" w:eastAsia="zh-CN"/>
        </w:rPr>
        <w:t>会计事务专业</w:t>
      </w:r>
    </w:p>
    <w:p>
      <w:pPr>
        <w:overflowPunct w:val="0"/>
        <w:adjustRightInd w:val="0"/>
        <w:snapToGrid w:val="0"/>
        <w:spacing w:line="360" w:lineRule="auto"/>
        <w:ind w:firstLine="3000" w:firstLineChars="1000"/>
        <w:jc w:val="both"/>
        <w:rPr>
          <w:rFonts w:hint="default" w:ascii="黑体" w:hAnsi="黑体" w:eastAsia="黑体" w:cs="黑体"/>
          <w:b w:val="0"/>
          <w:bCs/>
          <w:color w:val="auto"/>
          <w:sz w:val="30"/>
          <w:szCs w:val="30"/>
          <w:u w:val="single"/>
          <w:lang w:val="en-US" w:eastAsia="zh-CN"/>
        </w:rPr>
      </w:pPr>
      <w:r>
        <w:rPr>
          <w:rFonts w:hint="eastAsia" w:ascii="黑体" w:hAnsi="黑体" w:eastAsia="黑体" w:cs="黑体"/>
          <w:b w:val="0"/>
          <w:bCs/>
          <w:color w:val="auto"/>
          <w:sz w:val="30"/>
          <w:szCs w:val="30"/>
          <w:lang w:val="en-US" w:eastAsia="zh-CN"/>
        </w:rPr>
        <w:t>适用班级：</w:t>
      </w:r>
      <w:r>
        <w:rPr>
          <w:rFonts w:hint="eastAsia" w:ascii="黑体" w:hAnsi="黑体" w:eastAsia="黑体" w:cs="黑体"/>
          <w:b w:val="0"/>
          <w:bCs/>
          <w:color w:val="auto"/>
          <w:sz w:val="30"/>
          <w:szCs w:val="30"/>
          <w:u w:val="single"/>
          <w:lang w:val="en-US" w:eastAsia="zh-CN"/>
        </w:rPr>
        <w:t xml:space="preserve">  </w:t>
      </w:r>
      <w:r>
        <w:rPr>
          <w:rFonts w:hint="eastAsia" w:ascii="黑体" w:hAnsi="黑体" w:eastAsia="黑体" w:cs="黑体"/>
          <w:b/>
          <w:bCs w:val="0"/>
          <w:color w:val="auto"/>
          <w:sz w:val="30"/>
          <w:szCs w:val="30"/>
          <w:u w:val="single"/>
          <w:lang w:val="en-US" w:eastAsia="zh-CN"/>
        </w:rPr>
        <w:t xml:space="preserve"> 五年班</w:t>
      </w:r>
      <w:r>
        <w:rPr>
          <w:rFonts w:hint="eastAsia" w:ascii="黑体" w:hAnsi="黑体" w:eastAsia="黑体" w:cs="黑体"/>
          <w:b w:val="0"/>
          <w:bCs/>
          <w:color w:val="auto"/>
          <w:sz w:val="30"/>
          <w:szCs w:val="30"/>
          <w:u w:val="single"/>
          <w:lang w:val="en-US" w:eastAsia="zh-CN"/>
        </w:rPr>
        <w:t xml:space="preserve">   </w:t>
      </w:r>
    </w:p>
    <w:p>
      <w:pPr>
        <w:pStyle w:val="2"/>
        <w:rPr>
          <w:rFonts w:hint="eastAsia" w:ascii="黑体" w:hAnsi="黑体" w:eastAsia="黑体" w:cs="黑体"/>
          <w:b w:val="0"/>
          <w:bCs/>
          <w:color w:val="auto"/>
          <w:sz w:val="30"/>
          <w:szCs w:val="30"/>
          <w:u w:val="single"/>
          <w:lang w:val="en-US" w:eastAsia="zh-CN"/>
        </w:rPr>
      </w:pPr>
    </w:p>
    <w:p>
      <w:pPr>
        <w:rPr>
          <w:rFonts w:hint="eastAsia" w:ascii="黑体" w:hAnsi="黑体" w:eastAsia="黑体" w:cs="黑体"/>
          <w:b w:val="0"/>
          <w:bCs/>
          <w:color w:val="auto"/>
          <w:sz w:val="30"/>
          <w:szCs w:val="30"/>
          <w:u w:val="single"/>
          <w:lang w:val="en-US" w:eastAsia="zh-CN"/>
        </w:rPr>
      </w:pPr>
    </w:p>
    <w:p>
      <w:pPr>
        <w:pStyle w:val="2"/>
        <w:rPr>
          <w:rFonts w:hint="eastAsia" w:ascii="黑体" w:hAnsi="黑体" w:eastAsia="黑体" w:cs="黑体"/>
          <w:b w:val="0"/>
          <w:bCs/>
          <w:color w:val="auto"/>
          <w:sz w:val="30"/>
          <w:szCs w:val="30"/>
          <w:u w:val="single"/>
          <w:lang w:val="en-US" w:eastAsia="zh-CN"/>
        </w:rPr>
      </w:pPr>
    </w:p>
    <w:p>
      <w:pPr>
        <w:rPr>
          <w:rFonts w:hint="eastAsia" w:ascii="黑体" w:hAnsi="黑体" w:eastAsia="黑体" w:cs="黑体"/>
          <w:b w:val="0"/>
          <w:bCs/>
          <w:color w:val="auto"/>
          <w:sz w:val="30"/>
          <w:szCs w:val="30"/>
          <w:u w:val="single"/>
          <w:lang w:val="en-US" w:eastAsia="zh-CN"/>
        </w:rPr>
      </w:pPr>
    </w:p>
    <w:p>
      <w:pPr>
        <w:pStyle w:val="2"/>
        <w:rPr>
          <w:rFonts w:hint="eastAsia"/>
          <w:lang w:val="en-US" w:eastAsia="zh-CN"/>
        </w:rPr>
      </w:pPr>
    </w:p>
    <w:p>
      <w:pPr>
        <w:pStyle w:val="2"/>
        <w:rPr>
          <w:rFonts w:hint="eastAsia"/>
          <w:lang w:val="en-US" w:eastAsia="zh-CN"/>
        </w:rPr>
      </w:pPr>
    </w:p>
    <w:p>
      <w:pPr>
        <w:ind w:left="0" w:leftChars="0" w:firstLine="0" w:firstLineChars="0"/>
        <w:jc w:val="center"/>
        <w:rPr>
          <w:rFonts w:hint="eastAsia" w:ascii="黑体" w:hAnsi="黑体" w:eastAsia="黑体"/>
          <w:b/>
          <w:color w:val="auto"/>
          <w:sz w:val="36"/>
          <w:szCs w:val="36"/>
          <w:lang w:val="en-US" w:eastAsia="zh-CN"/>
        </w:rPr>
        <w:sectPr>
          <w:headerReference r:id="rId5" w:type="default"/>
          <w:footerReference r:id="rId6" w:type="default"/>
          <w:pgSz w:w="11906" w:h="16838"/>
          <w:pgMar w:top="1440" w:right="1463" w:bottom="1440" w:left="1519" w:header="851" w:footer="992" w:gutter="0"/>
          <w:pgNumType w:start="1"/>
          <w:cols w:space="425" w:num="1"/>
          <w:docGrid w:type="lines" w:linePitch="312" w:charSpace="0"/>
        </w:sectPr>
      </w:pPr>
      <w:r>
        <w:rPr>
          <w:rFonts w:hint="eastAsia" w:ascii="宋体" w:hAnsi="宋体" w:eastAsia="宋体" w:cs="宋体"/>
          <w:b/>
          <w:bCs/>
          <w:color w:val="auto"/>
          <w:kern w:val="2"/>
          <w:sz w:val="21"/>
          <w:szCs w:val="24"/>
          <w:lang w:val="en-US" w:eastAsia="zh-CN" w:bidi="ar-SA"/>
        </w:rPr>
        <w:t>修订</w:t>
      </w:r>
      <w:r>
        <w:rPr>
          <w:rFonts w:hint="eastAsia" w:ascii="宋体" w:hAnsi="宋体" w:cs="宋体"/>
          <w:b/>
          <w:bCs/>
          <w:color w:val="auto"/>
          <w:kern w:val="2"/>
          <w:sz w:val="21"/>
          <w:szCs w:val="24"/>
          <w:lang w:val="en-US" w:eastAsia="zh-CN" w:bidi="ar-SA"/>
        </w:rPr>
        <w:t>时间：2021年10月</w:t>
      </w:r>
    </w:p>
    <w:p>
      <w:pPr>
        <w:keepNext/>
        <w:keepLines/>
        <w:pageBreakBefore w:val="0"/>
        <w:widowControl/>
        <w:kinsoku/>
        <w:wordWrap/>
        <w:overflowPunct/>
        <w:topLinePunct w:val="0"/>
        <w:autoSpaceDE/>
        <w:autoSpaceDN/>
        <w:bidi w:val="0"/>
        <w:adjustRightInd/>
        <w:snapToGrid/>
        <w:spacing w:line="240" w:lineRule="auto"/>
        <w:ind w:firstLine="442" w:firstLineChars="100"/>
        <w:jc w:val="center"/>
        <w:textAlignment w:val="auto"/>
        <w:rPr>
          <w:rFonts w:ascii="Cambria" w:hAnsi="Cambria"/>
          <w:b/>
          <w:bCs/>
          <w:color w:val="000000" w:themeColor="text1"/>
          <w:kern w:val="0"/>
          <w:sz w:val="44"/>
          <w:szCs w:val="44"/>
          <w14:textFill>
            <w14:solidFill>
              <w14:schemeClr w14:val="tx1"/>
            </w14:solidFill>
          </w14:textFill>
        </w:rPr>
      </w:pPr>
      <w:r>
        <w:rPr>
          <w:rFonts w:ascii="Cambria" w:hAnsi="Cambria"/>
          <w:b/>
          <w:bCs/>
          <w:color w:val="000000" w:themeColor="text1"/>
          <w:kern w:val="0"/>
          <w:sz w:val="44"/>
          <w:szCs w:val="44"/>
          <w:lang w:val="zh-CN"/>
          <w14:textFill>
            <w14:solidFill>
              <w14:schemeClr w14:val="tx1"/>
            </w14:solidFill>
          </w14:textFill>
        </w:rPr>
        <w:t>目</w:t>
      </w:r>
      <w:r>
        <w:rPr>
          <w:rFonts w:hint="eastAsia" w:ascii="Cambria" w:hAnsi="Cambria"/>
          <w:b/>
          <w:bCs/>
          <w:color w:val="000000" w:themeColor="text1"/>
          <w:kern w:val="0"/>
          <w:sz w:val="44"/>
          <w:szCs w:val="44"/>
          <w:lang w:val="zh-CN"/>
          <w14:textFill>
            <w14:solidFill>
              <w14:schemeClr w14:val="tx1"/>
            </w14:solidFill>
          </w14:textFill>
        </w:rPr>
        <w:t xml:space="preserve">   </w:t>
      </w:r>
      <w:r>
        <w:rPr>
          <w:rFonts w:ascii="Cambria" w:hAnsi="Cambria"/>
          <w:b/>
          <w:bCs/>
          <w:color w:val="000000" w:themeColor="text1"/>
          <w:kern w:val="0"/>
          <w:sz w:val="44"/>
          <w:szCs w:val="44"/>
          <w:lang w:val="zh-CN"/>
          <w14:textFill>
            <w14:solidFill>
              <w14:schemeClr w14:val="tx1"/>
            </w14:solidFill>
          </w14:textFill>
        </w:rPr>
        <w:t>录</w:t>
      </w:r>
    </w:p>
    <w:p>
      <w:pPr>
        <w:tabs>
          <w:tab w:val="right" w:leader="dot" w:pos="9344"/>
        </w:tabs>
        <w:adjustRightInd/>
        <w:snapToGrid/>
        <w:spacing w:line="240" w:lineRule="auto"/>
        <w:ind w:left="560" w:leftChars="200" w:firstLine="0" w:firstLineChars="0"/>
        <w:rPr>
          <w:rFonts w:ascii="Arial" w:hAnsi="Arial" w:cs="Arial"/>
          <w:color w:val="000000" w:themeColor="text1"/>
          <w:szCs w:val="28"/>
          <w:highlight w:val="none"/>
          <w14:textFill>
            <w14:solidFill>
              <w14:schemeClr w14:val="tx1"/>
            </w14:solidFill>
          </w14:textFill>
        </w:rPr>
      </w:pP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TOC \o "1-3" \h \z \u </w:instrText>
      </w:r>
      <w:r>
        <w:rPr>
          <w:color w:val="000000" w:themeColor="text1"/>
          <w:szCs w:val="28"/>
          <w:highlight w:val="none"/>
          <w14:textFill>
            <w14:solidFill>
              <w14:schemeClr w14:val="tx1"/>
            </w14:solidFill>
          </w14:textFill>
        </w:rPr>
        <w:fldChar w:fldCharType="separate"/>
      </w:r>
      <w:r>
        <w:rPr>
          <w:highlight w:val="none"/>
        </w:rPr>
        <w:fldChar w:fldCharType="begin"/>
      </w:r>
      <w:r>
        <w:rPr>
          <w:highlight w:val="none"/>
        </w:rPr>
        <w:instrText xml:space="preserve"> HYPERLINK \l "_Toc433200699"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一、专业名称及代码</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Arial" w:hAnsi="Arial" w:cs="Arial"/>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二、</w:t>
      </w:r>
      <w:r>
        <w:rPr>
          <w:color w:val="000000" w:themeColor="text1"/>
          <w:highlight w:val="none"/>
          <w14:textFill>
            <w14:solidFill>
              <w14:schemeClr w14:val="tx1"/>
            </w14:solidFill>
          </w14:textFill>
        </w:rPr>
        <w:t>入学要求</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三、</w:t>
      </w:r>
      <w:r>
        <w:rPr>
          <w:color w:val="000000" w:themeColor="text1"/>
          <w:highlight w:val="none"/>
          <w14:textFill>
            <w14:solidFill>
              <w14:schemeClr w14:val="tx1"/>
            </w14:solidFill>
          </w14:textFill>
        </w:rPr>
        <w:t>修业年限</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四、</w:t>
      </w:r>
      <w:r>
        <w:rPr>
          <w:color w:val="000000" w:themeColor="text1"/>
          <w:highlight w:val="none"/>
          <w14:textFill>
            <w14:solidFill>
              <w14:schemeClr w14:val="tx1"/>
            </w14:solidFill>
          </w14:textFill>
        </w:rPr>
        <w:t>职业面向</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Arial" w:hAnsi="Arial" w:cs="Arial"/>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"_Toc433200701"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五、培养目标与培养规格</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3</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（一）</w:t>
      </w: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培养目标</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3</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（二）</w:t>
      </w: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培养规格</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4</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Arial" w:hAnsi="Arial" w:cs="Arial"/>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"_Toc433200702"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六、课程设置及要求</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6</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（一）</w:t>
      </w: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设计思路</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6</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（二）</w:t>
      </w:r>
      <w:r>
        <w:rPr>
          <w:rFonts w:hint="eastAsia" w:ascii="Arial" w:hAnsi="Arial" w:cs="Arial"/>
          <w:color w:val="000000" w:themeColor="text1"/>
          <w:szCs w:val="28"/>
          <w:highlight w:val="none"/>
          <w14:textFill>
            <w14:solidFill>
              <w14:schemeClr w14:val="tx1"/>
            </w14:solidFill>
          </w14:textFill>
        </w:rPr>
        <w:t>公共基础课程</w:t>
      </w:r>
      <w:r>
        <w:rPr>
          <w:highlight w:val="none"/>
        </w:rPr>
        <w:fldChar w:fldCharType="begin"/>
      </w:r>
      <w:r>
        <w:rPr>
          <w:highlight w:val="none"/>
        </w:rPr>
        <w:instrText xml:space="preserve"> HYPERLINK \l "_Toc433200700" </w:instrText>
      </w:r>
      <w:r>
        <w:rPr>
          <w:highlight w:val="none"/>
        </w:rPr>
        <w:fldChar w:fldCharType="separate"/>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7</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（三）</w:t>
      </w:r>
      <w:r>
        <w:rPr>
          <w:color w:val="000000" w:themeColor="text1"/>
          <w:highlight w:val="none"/>
          <w14:textFill>
            <w14:solidFill>
              <w14:schemeClr w14:val="tx1"/>
            </w14:solidFill>
          </w14:textFill>
        </w:rPr>
        <w:t>专业（技能）课程</w:t>
      </w:r>
      <w:r>
        <w:rPr>
          <w:highlight w:val="none"/>
        </w:rPr>
        <w:fldChar w:fldCharType="begin"/>
      </w:r>
      <w:r>
        <w:rPr>
          <w:highlight w:val="none"/>
        </w:rPr>
        <w:instrText xml:space="preserve"> HYPERLINK \l "_Toc433200700" </w:instrText>
      </w:r>
      <w:r>
        <w:rPr>
          <w:highlight w:val="none"/>
        </w:rPr>
        <w:fldChar w:fldCharType="separate"/>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7</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"_Toc433200703"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七、教学进程总体安排</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1</w:t>
      </w:r>
    </w:p>
    <w:p>
      <w:pPr>
        <w:tabs>
          <w:tab w:val="right" w:leader="dot" w:pos="9344"/>
        </w:tabs>
        <w:adjustRightInd/>
        <w:snapToGrid/>
        <w:spacing w:line="24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"_Toc433200704"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八、实施保障</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2</w:t>
      </w:r>
    </w:p>
    <w:p>
      <w:pPr>
        <w:tabs>
          <w:tab w:val="right" w:leader="dot" w:pos="9344"/>
        </w:tabs>
        <w:adjustRightInd/>
        <w:snapToGrid/>
        <w:spacing w:line="24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"_Toc433200705"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（一）师资队伍</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2</w:t>
      </w:r>
    </w:p>
    <w:p>
      <w:pPr>
        <w:tabs>
          <w:tab w:val="right" w:leader="dot" w:pos="9344"/>
        </w:tabs>
        <w:adjustRightInd/>
        <w:snapToGrid/>
        <w:spacing w:line="24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"_Toc433200706"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（二）</w:t>
      </w:r>
      <w:r>
        <w:rPr>
          <w:color w:val="000000" w:themeColor="text1"/>
          <w:highlight w:val="none"/>
          <w14:textFill>
            <w14:solidFill>
              <w14:schemeClr w14:val="tx1"/>
            </w14:solidFill>
          </w14:textFill>
        </w:rPr>
        <w:t>教学设施</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3</w:t>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"_Toc433200707"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（三）</w:t>
      </w:r>
      <w:r>
        <w:rPr>
          <w:color w:val="000000" w:themeColor="text1"/>
          <w:highlight w:val="none"/>
          <w14:textFill>
            <w14:solidFill>
              <w14:schemeClr w14:val="tx1"/>
            </w14:solidFill>
          </w14:textFill>
        </w:rPr>
        <w:t>教学资源</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_Toc433200707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14</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"_Toc433200708"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（四）</w:t>
      </w:r>
      <w:r>
        <w:rPr>
          <w:color w:val="000000" w:themeColor="text1"/>
          <w:highlight w:val="none"/>
          <w14:textFill>
            <w14:solidFill>
              <w14:schemeClr w14:val="tx1"/>
            </w14:solidFill>
          </w14:textFill>
        </w:rPr>
        <w:t>教学方法</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_Toc433200708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14</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"_Toc433200709"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（五）</w:t>
      </w:r>
      <w:r>
        <w:rPr>
          <w:color w:val="000000" w:themeColor="text1"/>
          <w:highlight w:val="none"/>
          <w14:textFill>
            <w14:solidFill>
              <w14:schemeClr w14:val="tx1"/>
            </w14:solidFill>
          </w14:textFill>
        </w:rPr>
        <w:t>学习评价</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_Toc433200709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5</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"_Toc433200710"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（六）</w:t>
      </w:r>
      <w:r>
        <w:rPr>
          <w:color w:val="000000" w:themeColor="text1"/>
          <w:highlight w:val="none"/>
          <w14:textFill>
            <w14:solidFill>
              <w14:schemeClr w14:val="tx1"/>
            </w14:solidFill>
          </w14:textFill>
        </w:rPr>
        <w:t>质量管理</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_Toc433200710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5</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ascii="Calibri" w:hAnsi="Calibri"/>
          <w:color w:val="000000" w:themeColor="text1"/>
          <w:szCs w:val="28"/>
          <w:highlight w:val="none"/>
          <w14:textFill>
            <w14:solidFill>
              <w14:schemeClr w14:val="tx1"/>
            </w14:solidFill>
          </w14:textFill>
        </w:rPr>
      </w:pPr>
      <w:r>
        <w:rPr>
          <w:color w:val="000000" w:themeColor="text1"/>
          <w:szCs w:val="28"/>
          <w:highlight w:val="none"/>
          <w14:textFill>
            <w14:solidFill>
              <w14:schemeClr w14:val="tx1"/>
            </w14:solidFill>
          </w14:textFill>
        </w:rPr>
        <w:fldChar w:fldCharType="end"/>
      </w:r>
      <w:r>
        <w:rPr>
          <w:highlight w:val="none"/>
        </w:rPr>
        <w:fldChar w:fldCharType="begin"/>
      </w:r>
      <w:r>
        <w:rPr>
          <w:highlight w:val="none"/>
        </w:rPr>
        <w:instrText xml:space="preserve"> HYPERLINK \l "_Toc433200710"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九、毕业要求</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_Toc433200710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6</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240" w:lineRule="auto"/>
        <w:ind w:left="560" w:leftChars="200" w:firstLine="0" w:firstLineChars="0"/>
        <w:rPr>
          <w:rFonts w:hint="default" w:ascii="Calibri" w:hAnsi="Calibri" w:eastAsia="宋体"/>
          <w:color w:val="000000" w:themeColor="text1"/>
          <w:szCs w:val="28"/>
          <w:lang w:val="en-US" w:eastAsia="zh-CN"/>
          <w14:textFill>
            <w14:solidFill>
              <w14:schemeClr w14:val="tx1"/>
            </w14:solidFill>
          </w14:textFill>
        </w:rPr>
      </w:pPr>
      <w:r>
        <w:rPr>
          <w:highlight w:val="none"/>
        </w:rPr>
        <w:fldChar w:fldCharType="begin"/>
      </w:r>
      <w:r>
        <w:rPr>
          <w:highlight w:val="none"/>
        </w:rPr>
        <w:instrText xml:space="preserve"> HYPERLINK \l "_Toc433200710"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十、附录</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17</w:t>
      </w:r>
    </w:p>
    <w:p>
      <w:pPr>
        <w:overflowPunct w:val="0"/>
        <w:ind w:firstLine="723"/>
        <w:jc w:val="center"/>
        <w:rPr>
          <w:rFonts w:hint="eastAsia" w:ascii="黑体" w:hAnsi="黑体" w:eastAsia="黑体"/>
          <w:b/>
          <w:color w:val="0D0D0D" w:themeColor="text1" w:themeTint="F2"/>
          <w:sz w:val="36"/>
          <w:szCs w:val="36"/>
          <w14:textFill>
            <w14:solidFill>
              <w14:schemeClr w14:val="tx1">
                <w14:lumMod w14:val="95000"/>
                <w14:lumOff w14:val="5000"/>
              </w14:schemeClr>
            </w14:solidFill>
          </w14:textFill>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463" w:bottom="1440" w:left="1519" w:header="851" w:footer="992" w:gutter="0"/>
          <w:pgNumType w:start="1"/>
          <w:cols w:space="425" w:num="1"/>
          <w:docGrid w:type="lines" w:linePitch="312" w:charSpace="0"/>
        </w:sectPr>
      </w:pPr>
    </w:p>
    <w:p>
      <w:pPr>
        <w:overflowPunct w:val="0"/>
        <w:ind w:firstLine="723"/>
        <w:jc w:val="center"/>
        <w:rPr>
          <w:rFonts w:ascii="黑体" w:hAnsi="黑体" w:eastAsia="黑体"/>
          <w:b/>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b/>
          <w:color w:val="0D0D0D" w:themeColor="text1" w:themeTint="F2"/>
          <w:sz w:val="36"/>
          <w:szCs w:val="36"/>
          <w14:textFill>
            <w14:solidFill>
              <w14:schemeClr w14:val="tx1">
                <w14:lumMod w14:val="95000"/>
                <w14:lumOff w14:val="5000"/>
              </w14:schemeClr>
            </w14:solidFill>
          </w14:textFill>
        </w:rPr>
        <w:t>绍兴市中等专业学校会计事务专</w:t>
      </w:r>
      <w:r>
        <w:rPr>
          <w:rFonts w:ascii="黑体" w:hAnsi="黑体" w:eastAsia="黑体"/>
          <w:b/>
          <w:color w:val="0D0D0D" w:themeColor="text1" w:themeTint="F2"/>
          <w:sz w:val="36"/>
          <w:szCs w:val="36"/>
          <w14:textFill>
            <w14:solidFill>
              <w14:schemeClr w14:val="tx1">
                <w14:lumMod w14:val="95000"/>
                <w14:lumOff w14:val="5000"/>
              </w14:schemeClr>
            </w14:solidFill>
          </w14:textFill>
        </w:rPr>
        <w:t>业人才培养方案</w:t>
      </w:r>
    </w:p>
    <w:p>
      <w:pPr>
        <w:pStyle w:val="72"/>
        <w:ind w:firstLine="0" w:firstLineChars="0"/>
        <w:rPr>
          <w:color w:val="0D0D0D" w:themeColor="text1" w:themeTint="F2"/>
          <w14:textFill>
            <w14:solidFill>
              <w14:schemeClr w14:val="tx1">
                <w14:lumMod w14:val="95000"/>
                <w14:lumOff w14:val="5000"/>
              </w14:schemeClr>
            </w14:solidFill>
          </w14:textFill>
        </w:rPr>
      </w:pPr>
      <w:bookmarkStart w:id="0" w:name="_Toc17537276"/>
      <w:r>
        <w:rPr>
          <w:color w:val="0D0D0D" w:themeColor="text1" w:themeTint="F2"/>
          <w14:textFill>
            <w14:solidFill>
              <w14:schemeClr w14:val="tx1">
                <w14:lumMod w14:val="95000"/>
                <w14:lumOff w14:val="5000"/>
              </w14:schemeClr>
            </w14:solidFill>
          </w14:textFill>
        </w:rPr>
        <w:t>一、专业名称及代码</w:t>
      </w:r>
      <w:bookmarkEnd w:id="0"/>
    </w:p>
    <w:p>
      <w:pPr>
        <w:overflowPunct w:val="0"/>
        <w:ind w:firstLine="560"/>
        <w:rPr>
          <w:rFonts w:ascii="宋体" w:hAnsi="宋体" w:cs="宋体"/>
          <w:color w:val="0D0D0D" w:themeColor="text1" w:themeTint="F2"/>
          <w:sz w:val="28"/>
          <w:szCs w:val="28"/>
          <w14:textFill>
            <w14:solidFill>
              <w14:schemeClr w14:val="tx1">
                <w14:lumMod w14:val="95000"/>
                <w14:lumOff w14:val="5000"/>
              </w14:schemeClr>
            </w14:solidFill>
          </w14:textFill>
        </w:rPr>
      </w:pPr>
      <w:r>
        <w:rPr>
          <w:rFonts w:hint="eastAsia" w:ascii="宋体" w:hAnsi="宋体" w:cs="宋体"/>
          <w:color w:val="0D0D0D" w:themeColor="text1" w:themeTint="F2"/>
          <w:sz w:val="28"/>
          <w:szCs w:val="28"/>
          <w14:textFill>
            <w14:solidFill>
              <w14:schemeClr w14:val="tx1">
                <w14:lumMod w14:val="95000"/>
                <w14:lumOff w14:val="5000"/>
              </w14:schemeClr>
            </w14:solidFill>
          </w14:textFill>
        </w:rPr>
        <w:t>会计事务专业（7331）</w:t>
      </w:r>
    </w:p>
    <w:p>
      <w:pPr>
        <w:pStyle w:val="72"/>
        <w:ind w:firstLine="0" w:firstLineChars="0"/>
        <w:rPr>
          <w:color w:val="0D0D0D" w:themeColor="text1" w:themeTint="F2"/>
          <w14:textFill>
            <w14:solidFill>
              <w14:schemeClr w14:val="tx1">
                <w14:lumMod w14:val="95000"/>
                <w14:lumOff w14:val="5000"/>
              </w14:schemeClr>
            </w14:solidFill>
          </w14:textFill>
        </w:rPr>
      </w:pPr>
      <w:bookmarkStart w:id="1" w:name="_Toc17537277"/>
      <w:r>
        <w:rPr>
          <w:color w:val="0D0D0D" w:themeColor="text1" w:themeTint="F2"/>
          <w14:textFill>
            <w14:solidFill>
              <w14:schemeClr w14:val="tx1">
                <w14:lumMod w14:val="95000"/>
                <w14:lumOff w14:val="5000"/>
              </w14:schemeClr>
            </w14:solidFill>
          </w14:textFill>
        </w:rPr>
        <w:t>二、入学要求</w:t>
      </w:r>
      <w:bookmarkEnd w:id="1"/>
    </w:p>
    <w:p>
      <w:pPr>
        <w:ind w:firstLine="560"/>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初中毕业生或具有同等</w:t>
      </w:r>
      <w:r>
        <w:rPr>
          <w:color w:val="0D0D0D" w:themeColor="text1" w:themeTint="F2"/>
          <w:sz w:val="28"/>
          <w:szCs w:val="28"/>
          <w14:textFill>
            <w14:solidFill>
              <w14:schemeClr w14:val="tx1">
                <w14:lumMod w14:val="95000"/>
                <w14:lumOff w14:val="5000"/>
              </w14:schemeClr>
            </w14:solidFill>
          </w14:textFill>
        </w:rPr>
        <w:t>学历</w:t>
      </w:r>
      <w:r>
        <w:rPr>
          <w:rFonts w:hint="eastAsia"/>
          <w:color w:val="0D0D0D" w:themeColor="text1" w:themeTint="F2"/>
          <w:sz w:val="28"/>
          <w:szCs w:val="28"/>
          <w14:textFill>
            <w14:solidFill>
              <w14:schemeClr w14:val="tx1">
                <w14:lumMod w14:val="95000"/>
                <w14:lumOff w14:val="5000"/>
              </w14:schemeClr>
            </w14:solidFill>
          </w14:textFill>
        </w:rPr>
        <w:t>者</w:t>
      </w:r>
    </w:p>
    <w:p>
      <w:pPr>
        <w:pStyle w:val="72"/>
        <w:ind w:firstLine="0" w:firstLineChars="0"/>
        <w:rPr>
          <w:color w:val="0D0D0D" w:themeColor="text1" w:themeTint="F2"/>
          <w14:textFill>
            <w14:solidFill>
              <w14:schemeClr w14:val="tx1">
                <w14:lumMod w14:val="95000"/>
                <w14:lumOff w14:val="5000"/>
              </w14:schemeClr>
            </w14:solidFill>
          </w14:textFill>
        </w:rPr>
      </w:pPr>
      <w:bookmarkStart w:id="2" w:name="_Toc17537278"/>
      <w:r>
        <w:rPr>
          <w:color w:val="0D0D0D" w:themeColor="text1" w:themeTint="F2"/>
          <w14:textFill>
            <w14:solidFill>
              <w14:schemeClr w14:val="tx1">
                <w14:lumMod w14:val="95000"/>
                <w14:lumOff w14:val="5000"/>
              </w14:schemeClr>
            </w14:solidFill>
          </w14:textFill>
        </w:rPr>
        <w:t>三、修业年限</w:t>
      </w:r>
      <w:bookmarkEnd w:id="2"/>
    </w:p>
    <w:p>
      <w:pPr>
        <w:ind w:firstLine="560"/>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pP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三年+二年</w:t>
      </w:r>
    </w:p>
    <w:p>
      <w:pPr>
        <w:pStyle w:val="72"/>
        <w:ind w:firstLine="0" w:firstLineChars="0"/>
      </w:pPr>
      <w:r>
        <w:t>四、职业面向</w:t>
      </w:r>
    </w:p>
    <w:p>
      <w:pPr>
        <w:ind w:firstLine="560"/>
        <w:rPr>
          <w:rFonts w:hint="eastAsia" w:asciiTheme="minorEastAsia" w:hAnsiTheme="minorEastAsia" w:eastAsiaTheme="minorEastAsia"/>
          <w:lang w:eastAsia="zh-CN"/>
        </w:rPr>
      </w:pPr>
      <w:r>
        <w:rPr>
          <w:rFonts w:hint="eastAsia" w:asciiTheme="minorEastAsia" w:hAnsiTheme="minorEastAsia" w:eastAsiaTheme="minorEastAsia"/>
        </w:rPr>
        <w:t>本专业职业面向如表1所示</w:t>
      </w:r>
      <w:r>
        <w:rPr>
          <w:rFonts w:hint="eastAsia" w:asciiTheme="minorEastAsia" w:hAnsiTheme="minorEastAsia" w:eastAsiaTheme="minorEastAsia"/>
          <w:lang w:eastAsia="zh-CN"/>
        </w:rPr>
        <w:t>：</w:t>
      </w:r>
    </w:p>
    <w:p>
      <w:pPr>
        <w:pStyle w:val="73"/>
        <w:spacing w:after="156" w:afterLines="50" w:line="240" w:lineRule="auto"/>
        <w:ind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表1  本专业职业面向</w:t>
      </w:r>
    </w:p>
    <w:tbl>
      <w:tblPr>
        <w:tblStyle w:val="23"/>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065"/>
        <w:gridCol w:w="1933"/>
        <w:gridCol w:w="1720"/>
        <w:gridCol w:w="201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23" w:type="dxa"/>
            <w:vAlign w:val="center"/>
          </w:tcPr>
          <w:p>
            <w:pPr>
              <w:pStyle w:val="53"/>
              <w:spacing w:line="240" w:lineRule="auto"/>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专业</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大类</w:t>
            </w:r>
          </w:p>
        </w:tc>
        <w:tc>
          <w:tcPr>
            <w:tcW w:w="1065"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专业类</w:t>
            </w:r>
          </w:p>
        </w:tc>
        <w:tc>
          <w:tcPr>
            <w:tcW w:w="1933"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专业名称</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及代码</w:t>
            </w:r>
          </w:p>
        </w:tc>
        <w:tc>
          <w:tcPr>
            <w:tcW w:w="1720"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专业（技能）</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方向举例</w:t>
            </w:r>
          </w:p>
        </w:tc>
        <w:tc>
          <w:tcPr>
            <w:tcW w:w="2014" w:type="dxa"/>
            <w:vAlign w:val="center"/>
          </w:tcPr>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对应职业（岗位）</w:t>
            </w:r>
          </w:p>
        </w:tc>
        <w:tc>
          <w:tcPr>
            <w:tcW w:w="1806"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职业资格</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223" w:type="dxa"/>
            <w:vAlign w:val="center"/>
          </w:tcPr>
          <w:p>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会计事务</w:t>
            </w:r>
          </w:p>
        </w:tc>
        <w:tc>
          <w:tcPr>
            <w:tcW w:w="1065" w:type="dxa"/>
            <w:vAlign w:val="center"/>
          </w:tcPr>
          <w:p>
            <w:pPr>
              <w:ind w:firstLine="170" w:firstLineChars="71"/>
              <w:jc w:val="both"/>
              <w:rPr>
                <w:rFonts w:hint="eastAsia" w:ascii="宋体" w:hAnsi="宋体" w:eastAsia="宋体" w:cs="宋体"/>
                <w:sz w:val="24"/>
                <w:szCs w:val="24"/>
              </w:rPr>
            </w:pPr>
            <w:r>
              <w:rPr>
                <w:rFonts w:hint="eastAsia" w:ascii="宋体" w:hAnsi="宋体" w:eastAsia="宋体" w:cs="宋体"/>
                <w:sz w:val="24"/>
                <w:szCs w:val="24"/>
              </w:rPr>
              <w:t>会计</w:t>
            </w:r>
          </w:p>
        </w:tc>
        <w:tc>
          <w:tcPr>
            <w:tcW w:w="1933" w:type="dxa"/>
            <w:vAlign w:val="center"/>
          </w:tcPr>
          <w:p>
            <w:pPr>
              <w:ind w:firstLine="720" w:firstLineChars="300"/>
              <w:jc w:val="both"/>
              <w:rPr>
                <w:rFonts w:hint="eastAsia" w:ascii="宋体" w:hAnsi="宋体" w:eastAsia="宋体" w:cs="宋体"/>
                <w:sz w:val="24"/>
                <w:szCs w:val="24"/>
              </w:rPr>
            </w:pPr>
            <w:r>
              <w:rPr>
                <w:rFonts w:hint="eastAsia" w:ascii="宋体" w:hAnsi="宋体" w:eastAsia="宋体" w:cs="宋体"/>
                <w:sz w:val="24"/>
                <w:szCs w:val="24"/>
              </w:rPr>
              <w:t>7331</w:t>
            </w:r>
          </w:p>
        </w:tc>
        <w:tc>
          <w:tcPr>
            <w:tcW w:w="1720" w:type="dxa"/>
            <w:vAlign w:val="center"/>
          </w:tcPr>
          <w:p>
            <w:pPr>
              <w:ind w:firstLine="420"/>
              <w:rPr>
                <w:rFonts w:hint="eastAsia" w:ascii="宋体" w:hAnsi="宋体" w:eastAsia="宋体" w:cs="宋体"/>
                <w:sz w:val="24"/>
                <w:szCs w:val="24"/>
              </w:rPr>
            </w:pPr>
            <w:r>
              <w:rPr>
                <w:rFonts w:hint="eastAsia" w:ascii="宋体" w:hAnsi="宋体" w:eastAsia="宋体" w:cs="宋体"/>
                <w:sz w:val="24"/>
                <w:szCs w:val="24"/>
              </w:rPr>
              <w:t>会计</w:t>
            </w:r>
          </w:p>
        </w:tc>
        <w:tc>
          <w:tcPr>
            <w:tcW w:w="2014" w:type="dxa"/>
            <w:vAlign w:val="center"/>
          </w:tcPr>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出纳</w:t>
            </w:r>
          </w:p>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助理会计</w:t>
            </w:r>
          </w:p>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收银员</w:t>
            </w:r>
          </w:p>
          <w:p>
            <w:pPr>
              <w:pStyle w:val="2"/>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仓管会计</w:t>
            </w:r>
          </w:p>
          <w:p>
            <w:pPr>
              <w:pStyle w:val="2"/>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代理记账</w:t>
            </w:r>
          </w:p>
        </w:tc>
        <w:tc>
          <w:tcPr>
            <w:tcW w:w="1806" w:type="dxa"/>
            <w:vAlign w:val="center"/>
          </w:tcPr>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智能财税职业技能等级</w:t>
            </w:r>
          </w:p>
        </w:tc>
      </w:tr>
    </w:tbl>
    <w:p>
      <w:pPr>
        <w:ind w:firstLine="560"/>
      </w:pPr>
    </w:p>
    <w:p>
      <w:pPr>
        <w:ind w:firstLine="560"/>
        <w:rPr>
          <w:rFonts w:hint="eastAsia"/>
          <w:lang w:val="en-US" w:eastAsia="zh-CN"/>
        </w:rPr>
      </w:pPr>
      <w:r>
        <w:rPr>
          <w:rFonts w:hint="eastAsia"/>
        </w:rPr>
        <w:t>具体职业岗位、职业岗位的描述，以及岗位素质与能力要求，如表2所</w:t>
      </w:r>
      <w:r>
        <w:rPr>
          <w:rFonts w:hint="eastAsia"/>
          <w:lang w:val="en-US" w:eastAsia="zh-CN"/>
        </w:rPr>
        <w:t>示：</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73"/>
        <w:spacing w:after="156" w:afterLines="50" w:line="240" w:lineRule="auto"/>
        <w:ind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表2专业核心工作岗位职业能力要求</w:t>
      </w:r>
    </w:p>
    <w:tbl>
      <w:tblPr>
        <w:tblStyle w:val="23"/>
        <w:tblW w:w="9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680"/>
        <w:gridCol w:w="3368"/>
        <w:gridCol w:w="2751"/>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20" w:type="dxa"/>
            <w:vAlign w:val="center"/>
          </w:tcPr>
          <w:p>
            <w:pPr>
              <w:adjustRightInd/>
              <w:spacing w:line="240" w:lineRule="auto"/>
              <w:ind w:firstLine="0" w:firstLineChars="0"/>
              <w:rPr>
                <w:rFonts w:ascii="宋体" w:hAnsi="宋体"/>
                <w:b/>
                <w:sz w:val="18"/>
                <w:szCs w:val="18"/>
              </w:rPr>
            </w:pPr>
            <w:r>
              <w:rPr>
                <w:rFonts w:hint="eastAsia" w:ascii="宋体" w:hAnsi="宋体"/>
                <w:b/>
                <w:sz w:val="18"/>
                <w:szCs w:val="18"/>
              </w:rPr>
              <w:t>就业岗 位</w:t>
            </w:r>
          </w:p>
        </w:tc>
        <w:tc>
          <w:tcPr>
            <w:tcW w:w="1680"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岗位描述</w:t>
            </w:r>
          </w:p>
        </w:tc>
        <w:tc>
          <w:tcPr>
            <w:tcW w:w="3368"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工作任务</w:t>
            </w:r>
          </w:p>
        </w:tc>
        <w:tc>
          <w:tcPr>
            <w:tcW w:w="2751"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职业素质与能力要求</w:t>
            </w:r>
          </w:p>
        </w:tc>
        <w:tc>
          <w:tcPr>
            <w:tcW w:w="1389"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相关课程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720" w:type="dxa"/>
            <w:vAlign w:val="center"/>
          </w:tcPr>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出</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纳</w:t>
            </w:r>
          </w:p>
        </w:tc>
        <w:tc>
          <w:tcPr>
            <w:tcW w:w="1680" w:type="dxa"/>
            <w:vAlign w:val="center"/>
          </w:tcPr>
          <w:p>
            <w:pPr>
              <w:adjustRightIn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办理日常现金收款业务、填制相关结算凭证、处理现金日记账和银行日记账</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1．办理日常现金收款业务；</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2．填制各种结算凭证、办理日常的收付款和银行结算业务；</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3．登记日记账、保管库存现金和各种有价证券；</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4．保管有关印章、空白收据和空白支票。</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1．熟悉出纳岗位的工作目的、任务、内容和工作要求；工作细致认真；</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2．熟悉资金岗位的基本职能、熟悉银行借款的程序与要求、资金岗位的业务流程；</w:t>
            </w:r>
          </w:p>
          <w:p>
            <w:pPr>
              <w:adjustRightIn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3．掌握库存现金管理的办法和相关制度、具有库存现金管理，填制各种结算凭证，办理日常的收付款和银行结算业务，设置并登记库存现金、银行存款日记账的能力。</w:t>
            </w:r>
          </w:p>
        </w:tc>
        <w:tc>
          <w:tcPr>
            <w:tcW w:w="1389" w:type="dxa"/>
            <w:vAlign w:val="center"/>
          </w:tcPr>
          <w:p>
            <w:pPr>
              <w:adjustRightInd/>
              <w:snapToGrid/>
              <w:spacing w:line="240" w:lineRule="auto"/>
              <w:ind w:firstLine="0" w:firstLineChars="0"/>
              <w:rPr>
                <w:rFonts w:asciiTheme="minorEastAsia" w:hAnsiTheme="minorEastAsia" w:eastAsiaTheme="minorEastAsia"/>
                <w:kern w:val="0"/>
                <w:sz w:val="18"/>
                <w:szCs w:val="18"/>
              </w:rPr>
            </w:pPr>
            <w:r>
              <w:rPr>
                <w:rFonts w:hint="eastAsia" w:asciiTheme="minorEastAsia" w:hAnsiTheme="minorEastAsia" w:eastAsiaTheme="minorEastAsia"/>
                <w:sz w:val="18"/>
                <w:szCs w:val="18"/>
              </w:rPr>
              <w:t>基础会计</w:t>
            </w:r>
          </w:p>
          <w:p>
            <w:pPr>
              <w:adjustRightInd/>
              <w:snapToGrid/>
              <w:spacing w:line="240" w:lineRule="auto"/>
              <w:ind w:firstLine="0" w:firstLineChars="0"/>
              <w:rPr>
                <w:rFonts w:hint="default"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p>
            <w:pPr>
              <w:pStyle w:val="2"/>
              <w:ind w:firstLine="0" w:firstLineChars="0"/>
              <w:rPr>
                <w:rFonts w:asciiTheme="minorEastAsia" w:hAnsiTheme="minorEastAsia"/>
                <w:sz w:val="18"/>
                <w:szCs w:val="18"/>
              </w:rPr>
            </w:pPr>
            <w:r>
              <w:rPr>
                <w:rFonts w:hint="eastAsia" w:asciiTheme="minorEastAsia" w:hAnsiTheme="minorEastAsia"/>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720" w:type="dxa"/>
            <w:vAlign w:val="center"/>
          </w:tcPr>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仓</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库</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记</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账</w:t>
            </w:r>
          </w:p>
        </w:tc>
        <w:tc>
          <w:tcPr>
            <w:tcW w:w="1680" w:type="dxa"/>
            <w:vAlign w:val="center"/>
          </w:tcPr>
          <w:p>
            <w:pPr>
              <w:adjustRightIn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办理物资的出入库和相关数据的统计</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1．填制物资的出入库单；</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2．通过电算化软件或数据统计软件统计物资出入库数据；</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3．编制物资结存报表；</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4．向上一级财务人员传递统计数据。</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5．参与财产物资的清查</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1.了解企业对物资核算流程；</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2．能登记存货明细账；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3．会计电算化仓库模块的操作。</w:t>
            </w:r>
          </w:p>
        </w:tc>
        <w:tc>
          <w:tcPr>
            <w:tcW w:w="1389" w:type="dxa"/>
            <w:vAlign w:val="center"/>
          </w:tcPr>
          <w:p>
            <w:pPr>
              <w:adjustRightInd/>
              <w:snapToGrid/>
              <w:spacing w:line="240" w:lineRule="auto"/>
              <w:ind w:firstLine="0" w:firstLineChars="0"/>
              <w:rPr>
                <w:rFonts w:asciiTheme="minorEastAsia" w:hAnsiTheme="minorEastAsia" w:eastAsiaTheme="minorEastAsia"/>
                <w:kern w:val="0"/>
                <w:sz w:val="18"/>
                <w:szCs w:val="18"/>
              </w:rPr>
            </w:pPr>
            <w:r>
              <w:rPr>
                <w:rFonts w:hint="eastAsia" w:asciiTheme="minorEastAsia" w:hAnsiTheme="minorEastAsia" w:eastAsiaTheme="minorEastAsia"/>
                <w:sz w:val="18"/>
                <w:szCs w:val="18"/>
              </w:rPr>
              <w:t>基础会计</w:t>
            </w:r>
          </w:p>
          <w:p>
            <w:pPr>
              <w:pStyle w:val="2"/>
              <w:ind w:firstLine="0" w:firstLineChars="0"/>
              <w:rPr>
                <w:rFonts w:hint="default" w:asciiTheme="minorEastAsia" w:hAnsiTheme="minorEastAsia"/>
                <w:kern w:val="0"/>
                <w:sz w:val="18"/>
                <w:szCs w:val="18"/>
                <w:lang w:val="en-US" w:eastAsia="zh-CN"/>
              </w:rPr>
            </w:pPr>
            <w:r>
              <w:rPr>
                <w:rFonts w:hint="eastAsia" w:asciiTheme="minorEastAsia" w:hAnsiTheme="minorEastAsia"/>
                <w:kern w:val="0"/>
                <w:sz w:val="18"/>
                <w:szCs w:val="18"/>
                <w:lang w:val="en-US" w:eastAsia="zh-CN"/>
              </w:rPr>
              <w:t>智能财税信息化处理</w:t>
            </w:r>
          </w:p>
          <w:p>
            <w:pPr>
              <w:pStyle w:val="2"/>
              <w:ind w:firstLine="0" w:firstLineChars="0"/>
              <w:rPr>
                <w:rFonts w:asciiTheme="minorEastAsia" w:hAnsiTheme="minorEastAsia"/>
                <w:sz w:val="18"/>
                <w:szCs w:val="18"/>
              </w:rPr>
            </w:pPr>
            <w:r>
              <w:rPr>
                <w:rFonts w:hint="eastAsia" w:asciiTheme="minorEastAsia" w:hAnsiTheme="minorEastAsia"/>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6" w:hRule="atLeast"/>
          <w:jc w:val="center"/>
        </w:trPr>
        <w:tc>
          <w:tcPr>
            <w:tcW w:w="720" w:type="dxa"/>
            <w:vAlign w:val="center"/>
          </w:tcPr>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助</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理</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负责对会计日常核算中往来、工资、销售等会计核算中某一项业务的处理</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1．根据某一块经济业务填制和审核会计凭证；</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2．登记相应账簿；</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3．出具相应的报表；</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4．及时向主办会计传递会计信息；</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5．具有对外贸企业相关业务处理的能力。</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1．熟悉现行会计准则和会计制度；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2．具有本业务领域会计核算的能力；</w:t>
            </w:r>
          </w:p>
          <w:p>
            <w:pPr>
              <w:adjustRightInd/>
              <w:snapToGrid/>
              <w:spacing w:line="240" w:lineRule="auto"/>
              <w:ind w:firstLine="360" w:firstLineChars="0"/>
              <w:rPr>
                <w:rFonts w:asciiTheme="minorEastAsia" w:hAnsiTheme="minorEastAsia" w:eastAsiaTheme="minorEastAsia"/>
                <w:sz w:val="18"/>
                <w:szCs w:val="18"/>
              </w:rPr>
            </w:pPr>
          </w:p>
        </w:tc>
        <w:tc>
          <w:tcPr>
            <w:tcW w:w="1389" w:type="dxa"/>
            <w:vAlign w:val="center"/>
          </w:tcPr>
          <w:p>
            <w:pPr>
              <w:adjustRightInd/>
              <w:snapToGri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企业财务会计</w:t>
            </w:r>
          </w:p>
          <w:p>
            <w:pPr>
              <w:pStyle w:val="2"/>
              <w:ind w:firstLine="0" w:firstLineChars="0"/>
              <w:rPr>
                <w:rFonts w:asciiTheme="minorEastAsia" w:hAnsiTheme="minorEastAsia"/>
                <w:sz w:val="18"/>
                <w:szCs w:val="18"/>
              </w:rPr>
            </w:pPr>
            <w:r>
              <w:rPr>
                <w:rFonts w:hint="eastAsia" w:asciiTheme="minorEastAsia" w:hAnsiTheme="minorEastAsia"/>
                <w:sz w:val="18"/>
                <w:szCs w:val="18"/>
              </w:rPr>
              <w:t>财务管理</w:t>
            </w:r>
          </w:p>
          <w:p>
            <w:pPr>
              <w:adjustRightInd/>
              <w:snapToGrid/>
              <w:spacing w:line="240" w:lineRule="auto"/>
              <w:ind w:firstLine="0" w:firstLineChars="0"/>
              <w:rPr>
                <w:rFonts w:hint="default" w:asciiTheme="minorEastAsia" w:hAnsiTheme="minorEastAsia" w:eastAsiaTheme="minorEastAsia"/>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720" w:type="dxa"/>
            <w:vAlign w:val="center"/>
          </w:tcPr>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主</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办</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pacing w:val="12"/>
                <w:sz w:val="18"/>
                <w:szCs w:val="18"/>
              </w:rPr>
            </w:pPr>
            <w:r>
              <w:rPr>
                <w:rFonts w:hint="eastAsia" w:asciiTheme="minorEastAsia" w:hAnsiTheme="minorEastAsia" w:eastAsiaTheme="minorEastAsia"/>
                <w:sz w:val="18"/>
                <w:szCs w:val="18"/>
              </w:rPr>
              <w:t>负责对单位日常经济业务进行记录和披露</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1．根据经济业务填制或审核原始凭证、填制记账凭证；</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2．登记相应账簿、编制总分类账户试算平衡表；</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3．根据总账和明细账资料编制会计报表；</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4．汇总出纳、助理会计的核算信息；</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5．对本单位的会计凭证、账簿、报表及其他会计资料的合法性、合规性、合理性、正确性进行事前审核和事后复核。</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1．熟悉现行会计准则和会计制度；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2．具有设置账薄及登记账簿的的能力；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3．具有编制会计报表的能力；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4．具有一定的会计稽核能力。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5．具有会计电算化处理的能力；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6．外贸企业会计核算能力</w:t>
            </w:r>
          </w:p>
        </w:tc>
        <w:tc>
          <w:tcPr>
            <w:tcW w:w="1389" w:type="dxa"/>
            <w:vAlign w:val="center"/>
          </w:tcPr>
          <w:p>
            <w:pPr>
              <w:adjustRightInd/>
              <w:snapToGrid/>
              <w:spacing w:line="240" w:lineRule="auto"/>
              <w:ind w:firstLine="0" w:firstLineChars="0"/>
              <w:rPr>
                <w:rFonts w:hint="eastAsia"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企业财务会计</w:t>
            </w:r>
          </w:p>
          <w:p>
            <w:pPr>
              <w:adjustRightInd/>
              <w:snapToGrid/>
              <w:spacing w:line="240" w:lineRule="auto"/>
              <w:ind w:firstLine="0" w:firstLineChars="0"/>
              <w:rPr>
                <w:rFonts w:hint="eastAsia"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p>
            <w:pPr>
              <w:adjustRightInd/>
              <w:snapToGri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kern w:val="0"/>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2" w:hRule="atLeast"/>
          <w:jc w:val="center"/>
        </w:trPr>
        <w:tc>
          <w:tcPr>
            <w:tcW w:w="720" w:type="dxa"/>
            <w:vAlign w:val="center"/>
          </w:tcPr>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成</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本</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pacing w:val="12"/>
                <w:sz w:val="18"/>
                <w:szCs w:val="18"/>
              </w:rPr>
            </w:pPr>
            <w:r>
              <w:rPr>
                <w:rFonts w:hint="eastAsia" w:asciiTheme="minorEastAsia" w:hAnsiTheme="minorEastAsia" w:eastAsiaTheme="minorEastAsia"/>
                <w:sz w:val="18"/>
                <w:szCs w:val="18"/>
              </w:rPr>
              <w:t>负责对单位的成本进行记录和处理</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负责生产成本的核算，认真进行成本、开支的事前审核；</w:t>
            </w:r>
          </w:p>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w:t>
            </w:r>
            <w:r>
              <w:rPr>
                <w:rFonts w:asciiTheme="minorEastAsia" w:hAnsiTheme="minorEastAsia" w:eastAsiaTheme="minorEastAsia"/>
                <w:sz w:val="18"/>
                <w:szCs w:val="18"/>
              </w:rPr>
              <w:t>严格控制成本，促进增产节约，增收节支，提高企业的经济效益；</w:t>
            </w:r>
          </w:p>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3</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负责对生产成本进行监督和管理；督导成本控制及清点存货，审查原材料的采购；</w:t>
            </w:r>
          </w:p>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4</w:t>
            </w:r>
            <w:r>
              <w:rPr>
                <w:rFonts w:hint="eastAsia" w:asciiTheme="minorEastAsia" w:hAnsiTheme="minorEastAsia" w:eastAsiaTheme="minorEastAsia"/>
                <w:sz w:val="18"/>
                <w:szCs w:val="18"/>
              </w:rPr>
              <w:t>．</w:t>
            </w:r>
            <w:r>
              <w:rPr>
                <w:rFonts w:asciiTheme="minorEastAsia" w:hAnsiTheme="minorEastAsia" w:eastAsiaTheme="minorEastAsia"/>
                <w:sz w:val="18"/>
                <w:szCs w:val="18"/>
              </w:rPr>
              <w:t>认真核对各项原料、物料、成品、在制品收付事项</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负责编制原料转账传票</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负责编制成本转账传票；</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1．熟悉成本费用的归集以及产品成本业务的基本职能、业务流程；</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2．掌握成本费用的归集以及产品成本核算的一般方法和操作技能。</w:t>
            </w:r>
          </w:p>
        </w:tc>
        <w:tc>
          <w:tcPr>
            <w:tcW w:w="1389" w:type="dxa"/>
            <w:vAlign w:val="center"/>
          </w:tcPr>
          <w:p>
            <w:pPr>
              <w:pStyle w:val="2"/>
              <w:ind w:firstLine="0" w:firstLineChars="0"/>
              <w:rPr>
                <w:rFonts w:hint="eastAsia" w:asciiTheme="minorEastAsia" w:hAnsiTheme="minorEastAsia"/>
                <w:sz w:val="18"/>
                <w:szCs w:val="18"/>
                <w:lang w:val="en-US" w:eastAsia="zh-CN"/>
              </w:rPr>
            </w:pPr>
            <w:r>
              <w:rPr>
                <w:rFonts w:hint="eastAsia" w:asciiTheme="minorEastAsia" w:hAnsiTheme="minorEastAsia"/>
                <w:sz w:val="18"/>
                <w:szCs w:val="18"/>
                <w:lang w:val="en-US" w:eastAsia="zh-CN"/>
              </w:rPr>
              <w:t>成本会计</w:t>
            </w:r>
          </w:p>
          <w:p>
            <w:pPr>
              <w:pStyle w:val="2"/>
              <w:ind w:firstLine="0" w:firstLineChars="0"/>
              <w:rPr>
                <w:rFonts w:hint="eastAsia"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p>
            <w:pPr>
              <w:pStyle w:val="2"/>
              <w:ind w:firstLine="0" w:firstLineChars="0"/>
              <w:rPr>
                <w:rFonts w:asciiTheme="minorEastAsia" w:hAnsiTheme="minorEastAsia"/>
                <w:sz w:val="18"/>
                <w:szCs w:val="18"/>
              </w:rPr>
            </w:pPr>
            <w:r>
              <w:rPr>
                <w:rFonts w:hint="eastAsia" w:asciiTheme="minorEastAsia" w:hAnsiTheme="minorEastAsia"/>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0" w:hRule="atLeast"/>
          <w:jc w:val="center"/>
        </w:trPr>
        <w:tc>
          <w:tcPr>
            <w:tcW w:w="720" w:type="dxa"/>
            <w:vAlign w:val="center"/>
          </w:tcPr>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税</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务</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pacing w:val="12"/>
                <w:sz w:val="18"/>
                <w:szCs w:val="18"/>
              </w:rPr>
            </w:pPr>
            <w:r>
              <w:rPr>
                <w:rFonts w:hint="eastAsia" w:asciiTheme="minorEastAsia" w:hAnsiTheme="minorEastAsia" w:eastAsiaTheme="minorEastAsia"/>
                <w:sz w:val="18"/>
                <w:szCs w:val="18"/>
              </w:rPr>
              <w:t>负责对小微企业涉税事务进行处理</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1．负责增值税发票、普通发票、建安劳务发票等各种发票领购、保管，按规定及时登记发票领购簿；</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2．正确及时开具增值税发票、普通发票。对异地纳税开出外出经营活动证明并作登记备查；</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3．对各种发票进行审核，及时进行发票认证；</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4．负责编制国税、地税需要的各种报表，每月按时进行纳税申报，规避企业涉税风险，依法纳税；负责减免税、退税的申报。</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1．掌握国家税收政策，认真执行国家财经纪律、税收制度和企业的财务制度；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2．掌握企业纳税业务的相关账务处理。</w:t>
            </w:r>
          </w:p>
        </w:tc>
        <w:tc>
          <w:tcPr>
            <w:tcW w:w="1389" w:type="dxa"/>
            <w:vAlign w:val="center"/>
          </w:tcPr>
          <w:p>
            <w:pPr>
              <w:pStyle w:val="2"/>
              <w:ind w:firstLine="0" w:firstLineChars="0"/>
              <w:rPr>
                <w:rFonts w:hint="eastAsia" w:asciiTheme="minorEastAsia" w:hAnsiTheme="minorEastAsia"/>
                <w:sz w:val="18"/>
                <w:szCs w:val="18"/>
                <w:lang w:val="en-US" w:eastAsia="zh-CN"/>
              </w:rPr>
            </w:pPr>
            <w:r>
              <w:rPr>
                <w:rFonts w:hint="eastAsia" w:asciiTheme="minorEastAsia" w:hAnsiTheme="minorEastAsia"/>
                <w:sz w:val="18"/>
                <w:szCs w:val="18"/>
                <w:lang w:val="en-US" w:eastAsia="zh-CN"/>
              </w:rPr>
              <w:t>税收基础</w:t>
            </w:r>
          </w:p>
          <w:p>
            <w:pPr>
              <w:pStyle w:val="2"/>
              <w:ind w:firstLine="0" w:firstLineChars="0"/>
              <w:rPr>
                <w:rFonts w:asciiTheme="minorEastAsia" w:hAnsiTheme="minorEastAsia"/>
                <w:sz w:val="18"/>
                <w:szCs w:val="18"/>
              </w:rPr>
            </w:pPr>
            <w:r>
              <w:rPr>
                <w:rFonts w:hint="eastAsia" w:asciiTheme="minorEastAsia" w:hAnsiTheme="minorEastAsia" w:eastAsiaTheme="minorEastAsia"/>
                <w:kern w:val="0"/>
                <w:sz w:val="18"/>
                <w:szCs w:val="18"/>
                <w:lang w:val="en-US" w:eastAsia="zh-CN"/>
              </w:rPr>
              <w:t>智能财税信息化处理</w:t>
            </w:r>
          </w:p>
        </w:tc>
      </w:tr>
    </w:tbl>
    <w:p>
      <w:pPr>
        <w:ind w:firstLine="0" w:firstLineChars="0"/>
      </w:pPr>
    </w:p>
    <w:p>
      <w:pPr>
        <w:ind w:firstLine="560"/>
      </w:pPr>
      <w:r>
        <w:rPr>
          <w:rFonts w:hint="eastAsia"/>
        </w:rPr>
        <w:t>其中各种技能证书考核安排如表3所示。</w:t>
      </w:r>
    </w:p>
    <w:p>
      <w:pPr>
        <w:pStyle w:val="73"/>
        <w:spacing w:after="156" w:afterLines="50" w:line="240" w:lineRule="auto"/>
        <w:ind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表3各种技能证书考核安排</w:t>
      </w:r>
    </w:p>
    <w:tbl>
      <w:tblPr>
        <w:tblStyle w:val="23"/>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545"/>
        <w:gridCol w:w="1080"/>
        <w:gridCol w:w="1703"/>
        <w:gridCol w:w="692"/>
        <w:gridCol w:w="81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restart"/>
            <w:vAlign w:val="center"/>
          </w:tcPr>
          <w:p>
            <w:pPr>
              <w:pStyle w:val="53"/>
              <w:spacing w:line="240" w:lineRule="auto"/>
              <w:jc w:val="center"/>
              <w:rPr>
                <w:b/>
                <w:bCs/>
                <w:color w:val="000000" w:themeColor="text1"/>
                <w14:textFill>
                  <w14:solidFill>
                    <w14:schemeClr w14:val="tx1"/>
                  </w14:solidFill>
                </w14:textFill>
              </w:rPr>
            </w:pPr>
            <w:bookmarkStart w:id="3" w:name="_Hlk9199653"/>
            <w:r>
              <w:rPr>
                <w:rFonts w:hint="eastAsia"/>
                <w:b/>
                <w:bCs/>
                <w:color w:val="000000" w:themeColor="text1"/>
                <w14:textFill>
                  <w14:solidFill>
                    <w14:schemeClr w14:val="tx1"/>
                  </w14:solidFill>
                </w14:textFill>
              </w:rPr>
              <w:t>序号</w:t>
            </w:r>
          </w:p>
        </w:tc>
        <w:tc>
          <w:tcPr>
            <w:tcW w:w="3545"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考核项目</w:t>
            </w:r>
          </w:p>
        </w:tc>
        <w:tc>
          <w:tcPr>
            <w:tcW w:w="1080"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等级要求</w:t>
            </w:r>
          </w:p>
        </w:tc>
        <w:tc>
          <w:tcPr>
            <w:tcW w:w="1703"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考核学期</w:t>
            </w:r>
          </w:p>
        </w:tc>
        <w:tc>
          <w:tcPr>
            <w:tcW w:w="1502" w:type="dxa"/>
            <w:gridSpan w:val="2"/>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类型</w:t>
            </w:r>
          </w:p>
        </w:tc>
        <w:tc>
          <w:tcPr>
            <w:tcW w:w="669"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continue"/>
            <w:vAlign w:val="center"/>
          </w:tcPr>
          <w:p>
            <w:pPr>
              <w:pStyle w:val="53"/>
              <w:spacing w:line="240" w:lineRule="auto"/>
              <w:jc w:val="center"/>
              <w:rPr>
                <w:color w:val="000000" w:themeColor="text1"/>
                <w14:textFill>
                  <w14:solidFill>
                    <w14:schemeClr w14:val="tx1"/>
                  </w14:solidFill>
                </w14:textFill>
              </w:rPr>
            </w:pPr>
          </w:p>
        </w:tc>
        <w:tc>
          <w:tcPr>
            <w:tcW w:w="3545" w:type="dxa"/>
            <w:vMerge w:val="continue"/>
            <w:vAlign w:val="center"/>
          </w:tcPr>
          <w:p>
            <w:pPr>
              <w:pStyle w:val="53"/>
              <w:spacing w:line="240" w:lineRule="auto"/>
              <w:rPr>
                <w:color w:val="000000" w:themeColor="text1"/>
                <w14:textFill>
                  <w14:solidFill>
                    <w14:schemeClr w14:val="tx1"/>
                  </w14:solidFill>
                </w14:textFill>
              </w:rPr>
            </w:pPr>
          </w:p>
        </w:tc>
        <w:tc>
          <w:tcPr>
            <w:tcW w:w="1080" w:type="dxa"/>
            <w:vMerge w:val="continue"/>
            <w:vAlign w:val="center"/>
          </w:tcPr>
          <w:p>
            <w:pPr>
              <w:pStyle w:val="53"/>
              <w:spacing w:line="240" w:lineRule="auto"/>
              <w:rPr>
                <w:color w:val="000000" w:themeColor="text1"/>
                <w14:textFill>
                  <w14:solidFill>
                    <w14:schemeClr w14:val="tx1"/>
                  </w14:solidFill>
                </w14:textFill>
              </w:rPr>
            </w:pPr>
          </w:p>
        </w:tc>
        <w:tc>
          <w:tcPr>
            <w:tcW w:w="1703" w:type="dxa"/>
            <w:vMerge w:val="continue"/>
            <w:vAlign w:val="center"/>
          </w:tcPr>
          <w:p>
            <w:pPr>
              <w:pStyle w:val="53"/>
              <w:spacing w:line="240" w:lineRule="auto"/>
              <w:rPr>
                <w:color w:val="000000" w:themeColor="text1"/>
                <w14:textFill>
                  <w14:solidFill>
                    <w14:schemeClr w14:val="tx1"/>
                  </w14:solidFill>
                </w14:textFill>
              </w:rPr>
            </w:pPr>
          </w:p>
        </w:tc>
        <w:tc>
          <w:tcPr>
            <w:tcW w:w="692" w:type="dxa"/>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必考</w:t>
            </w:r>
          </w:p>
        </w:tc>
        <w:tc>
          <w:tcPr>
            <w:tcW w:w="810" w:type="dxa"/>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选考</w:t>
            </w:r>
          </w:p>
        </w:tc>
        <w:tc>
          <w:tcPr>
            <w:tcW w:w="669" w:type="dxa"/>
            <w:vMerge w:val="continue"/>
            <w:vAlign w:val="center"/>
          </w:tcPr>
          <w:p>
            <w:pPr>
              <w:pStyle w:val="53"/>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545" w:type="dxa"/>
          </w:tcPr>
          <w:p>
            <w:pPr>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计算机等级证书</w:t>
            </w:r>
          </w:p>
        </w:tc>
        <w:tc>
          <w:tcPr>
            <w:tcW w:w="1080" w:type="dxa"/>
            <w:vAlign w:val="center"/>
          </w:tcPr>
          <w:p>
            <w:pPr>
              <w:pStyle w:val="53"/>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初级</w:t>
            </w:r>
          </w:p>
        </w:tc>
        <w:tc>
          <w:tcPr>
            <w:tcW w:w="1703"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92"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10" w:type="dxa"/>
            <w:vAlign w:val="center"/>
          </w:tcPr>
          <w:p>
            <w:pPr>
              <w:pStyle w:val="53"/>
              <w:spacing w:line="240" w:lineRule="auto"/>
              <w:jc w:val="center"/>
              <w:rPr>
                <w:color w:val="000000" w:themeColor="text1"/>
                <w14:textFill>
                  <w14:solidFill>
                    <w14:schemeClr w14:val="tx1"/>
                  </w14:solidFill>
                </w14:textFill>
              </w:rPr>
            </w:pPr>
          </w:p>
        </w:tc>
        <w:tc>
          <w:tcPr>
            <w:tcW w:w="669"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545" w:type="dxa"/>
          </w:tcPr>
          <w:p>
            <w:pPr>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智能财税职业技能等级证书</w:t>
            </w:r>
          </w:p>
        </w:tc>
        <w:tc>
          <w:tcPr>
            <w:tcW w:w="1080" w:type="dxa"/>
            <w:vAlign w:val="center"/>
          </w:tcPr>
          <w:p>
            <w:pPr>
              <w:pStyle w:val="53"/>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初级</w:t>
            </w:r>
          </w:p>
        </w:tc>
        <w:tc>
          <w:tcPr>
            <w:tcW w:w="1703"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92" w:type="dxa"/>
            <w:vAlign w:val="center"/>
          </w:tcPr>
          <w:p>
            <w:pPr>
              <w:pStyle w:val="53"/>
              <w:spacing w:line="240" w:lineRule="auto"/>
              <w:jc w:val="center"/>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c>
          <w:tcPr>
            <w:tcW w:w="810" w:type="dxa"/>
            <w:vAlign w:val="center"/>
          </w:tcPr>
          <w:p>
            <w:pPr>
              <w:pStyle w:val="53"/>
              <w:spacing w:line="240" w:lineRule="auto"/>
              <w:jc w:val="center"/>
              <w:rPr>
                <w:color w:val="000000" w:themeColor="text1"/>
                <w14:textFill>
                  <w14:solidFill>
                    <w14:schemeClr w14:val="tx1"/>
                  </w14:solidFill>
                </w14:textFill>
              </w:rPr>
            </w:pPr>
          </w:p>
        </w:tc>
        <w:tc>
          <w:tcPr>
            <w:tcW w:w="669"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bookmarkEnd w:id="3"/>
    </w:tbl>
    <w:p>
      <w:pPr>
        <w:pStyle w:val="72"/>
        <w:ind w:firstLine="0" w:firstLineChars="0"/>
      </w:pPr>
      <w:bookmarkStart w:id="4" w:name="_Toc17537281"/>
    </w:p>
    <w:p>
      <w:pPr>
        <w:pStyle w:val="72"/>
        <w:ind w:firstLine="0" w:firstLineChars="0"/>
      </w:pPr>
      <w:r>
        <w:t>五、培养目标与培养规格</w:t>
      </w:r>
      <w:bookmarkEnd w:id="4"/>
    </w:p>
    <w:p>
      <w:pPr>
        <w:pStyle w:val="47"/>
        <w:ind w:firstLine="562"/>
        <w:rPr>
          <w:color w:val="0D0D0D" w:themeColor="text1" w:themeTint="F2"/>
          <w14:textFill>
            <w14:solidFill>
              <w14:schemeClr w14:val="tx1">
                <w14:lumMod w14:val="95000"/>
                <w14:lumOff w14:val="5000"/>
              </w14:schemeClr>
            </w14:solidFill>
          </w14:textFill>
        </w:rPr>
      </w:pPr>
      <w:bookmarkStart w:id="5" w:name="_Toc17537282"/>
      <w:r>
        <w:rPr>
          <w:color w:val="0D0D0D" w:themeColor="text1" w:themeTint="F2"/>
          <w14:textFill>
            <w14:solidFill>
              <w14:schemeClr w14:val="tx1">
                <w14:lumMod w14:val="95000"/>
                <w14:lumOff w14:val="5000"/>
              </w14:schemeClr>
            </w14:solidFill>
          </w14:textFill>
        </w:rPr>
        <w:t>（一）培养目标</w:t>
      </w:r>
      <w:bookmarkEnd w:id="5"/>
    </w:p>
    <w:p>
      <w:pPr>
        <w:pStyle w:val="51"/>
        <w:ind w:firstLine="560"/>
        <w:rPr>
          <w:rFonts w:hint="eastAsia"/>
          <w:b w:val="0"/>
          <w:color w:val="0D0D0D" w:themeColor="text1" w:themeTint="F2"/>
          <w:lang w:val="en-US" w:eastAsia="zh-CN"/>
          <w14:textFill>
            <w14:solidFill>
              <w14:schemeClr w14:val="tx1">
                <w14:lumMod w14:val="95000"/>
                <w14:lumOff w14:val="5000"/>
              </w14:schemeClr>
            </w14:solidFill>
          </w14:textFill>
        </w:rPr>
      </w:pPr>
      <w:bookmarkStart w:id="6" w:name="_Toc17537283"/>
      <w:r>
        <w:rPr>
          <w:rFonts w:hint="eastAsia"/>
          <w:b w:val="0"/>
          <w:color w:val="0D0D0D" w:themeColor="text1" w:themeTint="F2"/>
          <w14:textFill>
            <w14:solidFill>
              <w14:schemeClr w14:val="tx1">
                <w14:lumMod w14:val="95000"/>
                <w14:lumOff w14:val="5000"/>
              </w14:schemeClr>
            </w14:solidFill>
          </w14:textFill>
        </w:rPr>
        <w:t>本专业培养</w:t>
      </w:r>
      <w:r>
        <w:rPr>
          <w:rFonts w:hint="eastAsia"/>
          <w:b w:val="0"/>
          <w:color w:val="0D0D0D" w:themeColor="text1" w:themeTint="F2"/>
          <w:lang w:val="en-US" w:eastAsia="zh-CN"/>
          <w14:textFill>
            <w14:solidFill>
              <w14:schemeClr w14:val="tx1">
                <w14:lumMod w14:val="95000"/>
                <w14:lumOff w14:val="5000"/>
              </w14:schemeClr>
            </w14:solidFill>
          </w14:textFill>
        </w:rPr>
        <w:t>拥护党的基本路线，适应区域经济发展和社会发展需要，面向中小企业，会计师事务所等基层岗位，</w:t>
      </w:r>
      <w:r>
        <w:rPr>
          <w:rFonts w:hint="eastAsia"/>
          <w:b w:val="0"/>
          <w:color w:val="0D0D0D" w:themeColor="text1" w:themeTint="F2"/>
          <w14:textFill>
            <w14:solidFill>
              <w14:schemeClr w14:val="tx1">
                <w14:lumMod w14:val="95000"/>
                <w14:lumOff w14:val="5000"/>
              </w14:schemeClr>
            </w14:solidFill>
          </w14:textFill>
        </w:rPr>
        <w:t>具有一定的科学文化水平，良好的人文素养、职业道德和创新意识，</w:t>
      </w:r>
      <w:r>
        <w:rPr>
          <w:rFonts w:hint="eastAsia"/>
          <w:b w:val="0"/>
          <w:color w:val="0D0D0D" w:themeColor="text1" w:themeTint="F2"/>
          <w:lang w:val="en-US" w:eastAsia="zh-CN"/>
          <w14:textFill>
            <w14:solidFill>
              <w14:schemeClr w14:val="tx1">
                <w14:lumMod w14:val="95000"/>
                <w14:lumOff w14:val="5000"/>
              </w14:schemeClr>
            </w14:solidFill>
          </w14:textFill>
        </w:rPr>
        <w:t xml:space="preserve">具有财务会计、财务管理、税务、智能财税技能等专业知识，具备企业会计核算、涉税处理、财务管理、会计信息处理等业务能力，能从事出纳、会计、代理记账等工作，同时具有德、智、体、美、劳方面全面发展、具有较强可持续发展能力的高素质技术技能型专门人才。 </w:t>
      </w:r>
    </w:p>
    <w:p>
      <w:pPr>
        <w:ind w:firstLine="560"/>
        <w:rPr>
          <w:rFonts w:hint="default" w:eastAsia="宋体"/>
          <w:lang w:val="en-US" w:eastAsia="zh-CN"/>
        </w:rPr>
      </w:pPr>
      <w:r>
        <w:rPr>
          <w:rFonts w:hint="eastAsia"/>
        </w:rPr>
        <w:t>（1）政治思想方面</w:t>
      </w:r>
      <w:r>
        <w:rPr>
          <w:rFonts w:hint="eastAsia"/>
        </w:rPr>
        <w:cr/>
      </w:r>
      <w:r>
        <w:rPr>
          <w:rFonts w:hint="eastAsia"/>
        </w:rPr>
        <w:t xml:space="preserve">    热爱社会主义祖国，拥护中国共产党的领导，牢固树立社会主义法制观念，具有为社会主义现代化服务、为人民服务，为国家昌盛而奋斗的志向和责任感；具有热爱劳动、遵纪守法、团结协作的品质及良好的思想品德</w:t>
      </w:r>
      <w:r>
        <w:rPr>
          <w:rFonts w:hint="eastAsia"/>
          <w:lang w:eastAsia="zh-CN"/>
        </w:rPr>
        <w:t>，</w:t>
      </w:r>
      <w:r>
        <w:rPr>
          <w:rFonts w:hint="eastAsia"/>
          <w:lang w:val="en-US" w:eastAsia="zh-CN"/>
        </w:rPr>
        <w:t>具备</w:t>
      </w:r>
      <w:r>
        <w:rPr>
          <w:rFonts w:hint="eastAsia"/>
        </w:rPr>
        <w:t>爱岗敬业</w:t>
      </w:r>
      <w:r>
        <w:rPr>
          <w:rFonts w:hint="eastAsia"/>
          <w:lang w:eastAsia="zh-CN"/>
        </w:rPr>
        <w:t>、</w:t>
      </w:r>
      <w:r>
        <w:rPr>
          <w:rFonts w:hint="eastAsia"/>
          <w:lang w:val="en-US" w:eastAsia="zh-CN"/>
        </w:rPr>
        <w:t>诚实守信、廉洁自律、客观公正、坚持准则、提高技能、参与管理、强化服务的</w:t>
      </w:r>
      <w:r>
        <w:rPr>
          <w:rFonts w:hint="eastAsia"/>
        </w:rPr>
        <w:t xml:space="preserve">职业道德。 </w:t>
      </w:r>
      <w:r>
        <w:rPr>
          <w:rFonts w:hint="eastAsia"/>
        </w:rPr>
        <w:cr/>
      </w:r>
      <w:r>
        <w:rPr>
          <w:rFonts w:hint="eastAsia"/>
        </w:rPr>
        <w:t xml:space="preserve">   （2）知识结构方面</w:t>
      </w:r>
      <w:r>
        <w:rPr>
          <w:rFonts w:hint="eastAsia"/>
        </w:rPr>
        <w:cr/>
      </w:r>
      <w:r>
        <w:rPr>
          <w:rFonts w:hint="eastAsia"/>
        </w:rPr>
        <w:t xml:space="preserve">    具有中专层次所需的基础文化知识及</w:t>
      </w:r>
      <w:r>
        <w:rPr>
          <w:rFonts w:hint="eastAsia"/>
          <w:lang w:val="en-US" w:eastAsia="zh-CN"/>
        </w:rPr>
        <w:t>会计</w:t>
      </w:r>
      <w:r>
        <w:rPr>
          <w:rFonts w:hint="eastAsia"/>
        </w:rPr>
        <w:t>基础知识</w:t>
      </w:r>
      <w:r>
        <w:rPr>
          <w:rFonts w:hint="eastAsia"/>
          <w:lang w:eastAsia="zh-CN"/>
        </w:rPr>
        <w:t>，</w:t>
      </w:r>
      <w:r>
        <w:rPr>
          <w:rFonts w:hint="eastAsia"/>
        </w:rPr>
        <w:t>具有较扎实的从事会计核算工作所需的基本理论与方法；熟悉我国有关会计法规、掌握会计准则和核算方法、熟悉</w:t>
      </w:r>
      <w:r>
        <w:rPr>
          <w:rFonts w:hint="eastAsia"/>
          <w:lang w:val="en-US" w:eastAsia="zh-CN"/>
        </w:rPr>
        <w:t>中小</w:t>
      </w:r>
      <w:r>
        <w:rPr>
          <w:rFonts w:hint="eastAsia"/>
        </w:rPr>
        <w:t>企业会计核算方法、掌握会计税收相关知识和操作流程，了解会计行业惯例，把握</w:t>
      </w:r>
      <w:r>
        <w:rPr>
          <w:rFonts w:hint="eastAsia"/>
          <w:lang w:val="en-US" w:eastAsia="zh-CN"/>
        </w:rPr>
        <w:t>会计</w:t>
      </w:r>
      <w:r>
        <w:rPr>
          <w:rFonts w:hint="eastAsia"/>
        </w:rPr>
        <w:t xml:space="preserve">专业方向的知识前沿和发展动态。 </w:t>
      </w:r>
      <w:r>
        <w:rPr>
          <w:rFonts w:hint="eastAsia"/>
        </w:rPr>
        <w:cr/>
      </w:r>
      <w:r>
        <w:rPr>
          <w:rFonts w:hint="eastAsia"/>
        </w:rPr>
        <w:t xml:space="preserve">   （3）职业能力方面</w:t>
      </w:r>
      <w:r>
        <w:rPr>
          <w:rFonts w:hint="eastAsia"/>
        </w:rPr>
        <w:cr/>
      </w:r>
      <w:r>
        <w:rPr>
          <w:rFonts w:hint="eastAsia"/>
        </w:rPr>
        <w:t xml:space="preserve">    具备</w:t>
      </w:r>
      <w:r>
        <w:rPr>
          <w:rFonts w:hint="eastAsia"/>
          <w:lang w:val="en-US" w:eastAsia="zh-CN"/>
        </w:rPr>
        <w:t>会计</w:t>
      </w:r>
      <w:r>
        <w:rPr>
          <w:rFonts w:hint="eastAsia"/>
        </w:rPr>
        <w:t>行业进入与发展所必需的人际交往、团队协作、环境适应，以及良好抗挫折等基本能力。具备胜任会计、会计辅助岗位及行政岗位工作以及相关软件操作和维护运用等专业能力。具有较强的职业拓展能力，能够利用会计理论与方法，为企业管理者提供详实的会计专业</w:t>
      </w:r>
      <w:r>
        <w:rPr>
          <w:rFonts w:hint="eastAsia"/>
          <w:lang w:val="en-US" w:eastAsia="zh-CN"/>
        </w:rPr>
        <w:t>信息，帮助企业中高层做出正确的决策。</w:t>
      </w:r>
    </w:p>
    <w:p>
      <w:pPr>
        <w:pStyle w:val="47"/>
        <w:ind w:firstLine="56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（二）培养规格</w:t>
      </w:r>
      <w:bookmarkEnd w:id="6"/>
    </w:p>
    <w:p>
      <w:pPr>
        <w:pStyle w:val="51"/>
        <w:ind w:firstLine="56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素质</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（1）坚决拥护中国共产党领导，树立中国特色社会主义共同理想，践行社会主义核心价值观，具有深厚的爱国情感和中华民族自豪感； </w:t>
      </w:r>
    </w:p>
    <w:p>
      <w:pPr>
        <w:pStyle w:val="51"/>
        <w:rPr>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（2）</w:t>
      </w:r>
      <w:r>
        <w:rPr>
          <w:rFonts w:hint="eastAsia"/>
          <w:b w:val="0"/>
          <w:color w:val="0D0D0D" w:themeColor="text1" w:themeTint="F2"/>
          <w14:textFill>
            <w14:solidFill>
              <w14:schemeClr w14:val="tx1">
                <w14:lumMod w14:val="95000"/>
                <w14:lumOff w14:val="5000"/>
              </w14:schemeClr>
            </w14:solidFill>
          </w14:textFill>
        </w:rPr>
        <w:t>遵法守纪、崇德向善、诚实守信、尊重生命、热爱劳动，履行道德准则和行为规范，具有社会责任感和社会参与意识。</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（3）爱岗敬业，坚持准则、提高技能，具有精益求精的工匠精神；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（4）具有质量意识、安全意识、职业生涯规划意识和创新思维；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（5）具有较强的集体意识和团队合作精神，良好的行为习惯和自我管理能力；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（6）具有健康的体魄、心理和健全的人格，</w:t>
      </w:r>
      <w:r>
        <w:rPr>
          <w:rFonts w:hint="eastAsia"/>
          <w:b w:val="0"/>
          <w:color w:val="0D0D0D" w:themeColor="text1" w:themeTint="F2"/>
          <w14:textFill>
            <w14:solidFill>
              <w14:schemeClr w14:val="tx1">
                <w14:lumMod w14:val="95000"/>
                <w14:lumOff w14:val="5000"/>
              </w14:schemeClr>
            </w14:solidFill>
          </w14:textFill>
        </w:rPr>
        <w:t>掌握基本运动知识和1-2项运动技能，</w:t>
      </w:r>
      <w:r>
        <w:rPr>
          <w:rFonts w:hint="eastAsia"/>
          <w:b w:val="0"/>
          <w:color w:val="0D0D0D" w:themeColor="text1" w:themeTint="F2"/>
          <w:lang w:val="en-US" w:eastAsia="zh-CN"/>
          <w14:textFill>
            <w14:solidFill>
              <w14:schemeClr w14:val="tx1">
                <w14:lumMod w14:val="95000"/>
                <w14:lumOff w14:val="5000"/>
              </w14:schemeClr>
            </w14:solidFill>
          </w14:textFill>
        </w:rPr>
        <w:t xml:space="preserve">养成良好的健身与卫生习惯；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（7）具有勤俭、奋斗、创新、奉献的劳动精神；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（8）</w:t>
      </w:r>
      <w:r>
        <w:rPr>
          <w:rFonts w:hint="eastAsia"/>
          <w:b w:val="0"/>
          <w:color w:val="0D0D0D" w:themeColor="text1" w:themeTint="F2"/>
          <w14:textFill>
            <w14:solidFill>
              <w14:schemeClr w14:val="tx1">
                <w14:lumMod w14:val="95000"/>
                <w14:lumOff w14:val="5000"/>
              </w14:schemeClr>
            </w14:solidFill>
          </w14:textFill>
        </w:rPr>
        <w:t>具有一定的审美和人文素养，能够形成1-2项艺术特长或爱好。</w:t>
      </w:r>
    </w:p>
    <w:p>
      <w:pPr>
        <w:pStyle w:val="51"/>
        <w:ind w:left="280" w:leftChars="100" w:firstLine="281" w:firstLineChars="1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知识</w:t>
      </w:r>
    </w:p>
    <w:p>
      <w:pPr>
        <w:pStyle w:val="51"/>
        <w:ind w:firstLine="560"/>
        <w:rPr>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14:textFill>
            <w14:solidFill>
              <w14:schemeClr w14:val="tx1">
                <w14:lumMod w14:val="95000"/>
                <w14:lumOff w14:val="5000"/>
              </w14:schemeClr>
            </w14:solidFill>
          </w14:textFill>
        </w:rPr>
        <w:t>专业知识要求见表4所示：</w:t>
      </w:r>
    </w:p>
    <w:p>
      <w:pPr>
        <w:ind w:firstLine="0" w:firstLineChars="0"/>
        <w:rPr>
          <w:rFonts w:hAnsi="宋体"/>
          <w:b/>
          <w:kern w:val="0"/>
          <w:sz w:val="24"/>
        </w:rPr>
      </w:pPr>
    </w:p>
    <w:p>
      <w:pPr>
        <w:ind w:firstLine="482"/>
        <w:jc w:val="center"/>
        <w:rPr>
          <w:rFonts w:hAnsi="宋体"/>
          <w:b/>
          <w:kern w:val="0"/>
          <w:sz w:val="24"/>
        </w:rPr>
      </w:pPr>
      <w:r>
        <w:rPr>
          <w:rFonts w:hint="eastAsia" w:hAnsi="宋体"/>
          <w:b/>
          <w:kern w:val="0"/>
          <w:sz w:val="24"/>
        </w:rPr>
        <w:t>表4 专业知识要求</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6"/>
        <w:gridCol w:w="1768"/>
        <w:gridCol w:w="6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304" w:type="pct"/>
            <w:vMerge w:val="restart"/>
            <w:vAlign w:val="center"/>
          </w:tcPr>
          <w:p>
            <w:pPr>
              <w:adjustRightInd/>
              <w:spacing w:line="240" w:lineRule="auto"/>
              <w:ind w:firstLine="0" w:firstLineChars="0"/>
              <w:rPr>
                <w:rFonts w:hAnsi="宋体"/>
                <w:b/>
                <w:bCs/>
                <w:sz w:val="18"/>
                <w:szCs w:val="18"/>
              </w:rPr>
            </w:pPr>
            <w:r>
              <w:rPr>
                <w:rFonts w:hint="eastAsia" w:hAnsi="宋体"/>
                <w:bCs/>
                <w:sz w:val="18"/>
                <w:szCs w:val="18"/>
              </w:rPr>
              <w:t>知识结构</w:t>
            </w:r>
          </w:p>
        </w:tc>
        <w:tc>
          <w:tcPr>
            <w:tcW w:w="967" w:type="pct"/>
            <w:vMerge w:val="restart"/>
            <w:vAlign w:val="center"/>
          </w:tcPr>
          <w:p>
            <w:pPr>
              <w:adjustRightInd/>
              <w:spacing w:line="240" w:lineRule="auto"/>
              <w:ind w:firstLine="0" w:firstLineChars="0"/>
              <w:jc w:val="center"/>
              <w:rPr>
                <w:rFonts w:hAnsi="宋体"/>
                <w:b/>
                <w:bCs/>
                <w:sz w:val="18"/>
                <w:szCs w:val="18"/>
              </w:rPr>
            </w:pPr>
            <w:r>
              <w:rPr>
                <w:rFonts w:hint="eastAsia" w:hAnsi="宋体"/>
                <w:bCs/>
                <w:sz w:val="18"/>
                <w:szCs w:val="18"/>
              </w:rPr>
              <w:t>基础知识结构</w:t>
            </w: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lang w:val="en-US" w:eastAsia="zh-CN"/>
              </w:rPr>
              <w:t>掌握会计的基本理念与整体框架；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tcBorders>
              <w:bottom w:val="single" w:color="auto" w:sz="4" w:space="0"/>
            </w:tcBorders>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掌握会计要素的基本概念和相互关系；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tcBorders>
              <w:bottom w:val="single" w:color="auto" w:sz="4" w:space="0"/>
            </w:tcBorders>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掌握会计平衡公式的基本原理；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tcBorders>
              <w:top w:val="single" w:color="auto" w:sz="4" w:space="0"/>
            </w:tcBorders>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掌握会计科目与账户的设置原理；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掌握借贷记账法的基本原理；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掌握资产核算的基本知识；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掌握负债核算的基本知识；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掌握所有者权益核算的基本知识；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掌握收入、费用、成本和利润核算的基本知识。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restart"/>
            <w:vAlign w:val="center"/>
          </w:tcPr>
          <w:p>
            <w:pPr>
              <w:adjustRightInd/>
              <w:spacing w:line="240" w:lineRule="auto"/>
              <w:ind w:firstLine="0" w:firstLineChars="0"/>
              <w:jc w:val="center"/>
              <w:rPr>
                <w:rFonts w:hint="eastAsia" w:hAnsi="宋体"/>
                <w:bCs/>
                <w:sz w:val="18"/>
                <w:szCs w:val="18"/>
              </w:rPr>
            </w:pPr>
          </w:p>
          <w:p>
            <w:pPr>
              <w:adjustRightInd/>
              <w:spacing w:line="240" w:lineRule="auto"/>
              <w:ind w:firstLine="0" w:firstLineChars="0"/>
              <w:jc w:val="center"/>
              <w:rPr>
                <w:rFonts w:hint="eastAsia" w:hAnsi="宋体"/>
                <w:bCs/>
                <w:sz w:val="18"/>
                <w:szCs w:val="18"/>
              </w:rPr>
            </w:pPr>
          </w:p>
          <w:p>
            <w:pPr>
              <w:adjustRightInd/>
              <w:spacing w:line="240" w:lineRule="auto"/>
              <w:ind w:firstLine="0" w:firstLineChars="0"/>
              <w:jc w:val="center"/>
              <w:rPr>
                <w:rFonts w:hint="eastAsia" w:hAnsi="宋体"/>
                <w:bCs/>
                <w:sz w:val="18"/>
                <w:szCs w:val="18"/>
              </w:rPr>
            </w:pPr>
          </w:p>
          <w:p>
            <w:pPr>
              <w:adjustRightInd/>
              <w:spacing w:line="240" w:lineRule="auto"/>
              <w:ind w:firstLine="0" w:firstLineChars="0"/>
              <w:jc w:val="center"/>
              <w:rPr>
                <w:rFonts w:hint="eastAsia" w:hAnsi="宋体"/>
                <w:bCs/>
                <w:sz w:val="18"/>
                <w:szCs w:val="18"/>
              </w:rPr>
            </w:pPr>
          </w:p>
          <w:p>
            <w:pPr>
              <w:adjustRightInd/>
              <w:spacing w:line="240" w:lineRule="auto"/>
              <w:ind w:firstLine="0" w:firstLineChars="0"/>
              <w:jc w:val="center"/>
              <w:rPr>
                <w:rFonts w:hint="eastAsia" w:hAnsi="宋体"/>
                <w:bCs/>
                <w:sz w:val="18"/>
                <w:szCs w:val="18"/>
              </w:rPr>
            </w:pPr>
          </w:p>
          <w:p>
            <w:pPr>
              <w:adjustRightInd/>
              <w:spacing w:line="240" w:lineRule="auto"/>
              <w:ind w:firstLine="0" w:firstLineChars="0"/>
              <w:jc w:val="center"/>
              <w:rPr>
                <w:rFonts w:hint="eastAsia" w:hAnsi="宋体"/>
                <w:bCs/>
                <w:sz w:val="18"/>
                <w:szCs w:val="18"/>
              </w:rPr>
            </w:pPr>
          </w:p>
          <w:p>
            <w:pPr>
              <w:adjustRightInd/>
              <w:spacing w:line="240" w:lineRule="auto"/>
              <w:ind w:firstLine="0" w:firstLineChars="0"/>
              <w:jc w:val="center"/>
              <w:rPr>
                <w:rFonts w:hint="eastAsia" w:hAnsi="宋体"/>
                <w:bCs/>
                <w:sz w:val="18"/>
                <w:szCs w:val="18"/>
              </w:rPr>
            </w:pPr>
          </w:p>
          <w:p>
            <w:pPr>
              <w:adjustRightInd/>
              <w:spacing w:line="240" w:lineRule="auto"/>
              <w:ind w:firstLine="0" w:firstLineChars="0"/>
              <w:jc w:val="center"/>
              <w:rPr>
                <w:rFonts w:hAnsi="宋体"/>
                <w:b/>
                <w:bCs/>
                <w:sz w:val="18"/>
                <w:szCs w:val="18"/>
              </w:rPr>
            </w:pPr>
            <w:r>
              <w:rPr>
                <w:rFonts w:hint="eastAsia" w:hAnsi="宋体"/>
                <w:bCs/>
                <w:sz w:val="18"/>
                <w:szCs w:val="18"/>
              </w:rPr>
              <w:t>专业知识结构</w:t>
            </w:r>
          </w:p>
        </w:tc>
        <w:tc>
          <w:tcPr>
            <w:tcW w:w="3728" w:type="pct"/>
            <w:vAlign w:val="center"/>
          </w:tcPr>
          <w:p>
            <w:pPr>
              <w:tabs>
                <w:tab w:val="left" w:pos="259"/>
              </w:tabs>
              <w:adjustRightInd/>
              <w:spacing w:line="240" w:lineRule="auto"/>
              <w:ind w:firstLine="0" w:firstLineChars="0"/>
              <w:rPr>
                <w:rFonts w:hAnsi="宋体"/>
                <w:b/>
                <w:bCs/>
                <w:sz w:val="18"/>
                <w:szCs w:val="18"/>
              </w:rPr>
            </w:pPr>
            <w:r>
              <w:rPr>
                <w:rFonts w:hAnsi="宋体"/>
                <w:bCs/>
                <w:sz w:val="18"/>
                <w:szCs w:val="18"/>
              </w:rPr>
              <w:fldChar w:fldCharType="begin"/>
            </w:r>
            <w:r>
              <w:rPr>
                <w:rFonts w:hAnsi="宋体"/>
                <w:bCs/>
                <w:sz w:val="18"/>
                <w:szCs w:val="18"/>
              </w:rPr>
              <w:instrText xml:space="preserve"> </w:instrText>
            </w:r>
            <w:r>
              <w:rPr>
                <w:rFonts w:hint="eastAsia" w:hAnsi="宋体"/>
                <w:bCs/>
                <w:sz w:val="18"/>
                <w:szCs w:val="18"/>
              </w:rPr>
              <w:instrText xml:space="preserve">= 1 \* GB3</w:instrText>
            </w:r>
            <w:r>
              <w:rPr>
                <w:rFonts w:hAnsi="宋体"/>
                <w:bCs/>
                <w:sz w:val="18"/>
                <w:szCs w:val="18"/>
              </w:rPr>
              <w:instrText xml:space="preserve"> </w:instrText>
            </w:r>
            <w:r>
              <w:rPr>
                <w:rFonts w:hAnsi="宋体"/>
                <w:bCs/>
                <w:sz w:val="18"/>
                <w:szCs w:val="18"/>
              </w:rPr>
              <w:fldChar w:fldCharType="separate"/>
            </w:r>
            <w:r>
              <w:rPr>
                <w:rFonts w:hint="eastAsia" w:hAnsi="宋体"/>
                <w:bCs/>
                <w:sz w:val="18"/>
                <w:szCs w:val="18"/>
              </w:rPr>
              <w:t>①</w:t>
            </w:r>
            <w:r>
              <w:rPr>
                <w:rFonts w:hAnsi="宋体"/>
                <w:bCs/>
                <w:sz w:val="18"/>
                <w:szCs w:val="18"/>
              </w:rPr>
              <w:fldChar w:fldCharType="end"/>
            </w:r>
            <w:r>
              <w:rPr>
                <w:rFonts w:hint="eastAsia" w:hAnsi="宋体"/>
                <w:bCs/>
                <w:sz w:val="18"/>
                <w:szCs w:val="18"/>
              </w:rPr>
              <w:t xml:space="preserve"> 掌握原始凭证的填制原理和方法；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② 掌握记账凭证的填制原理和方法；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③ 掌握账薄登记的原理和方法；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④ 掌握报表的编制原理和方法；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⑤ 掌握投资与理财基础知识；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⑥ 掌握</w:t>
            </w:r>
            <w:r>
              <w:rPr>
                <w:rFonts w:hint="eastAsia" w:hAnsi="宋体"/>
                <w:bCs/>
                <w:sz w:val="18"/>
                <w:szCs w:val="18"/>
                <w:lang w:val="en-US" w:eastAsia="zh-CN"/>
              </w:rPr>
              <w:t>成本会计</w:t>
            </w:r>
            <w:r>
              <w:rPr>
                <w:rFonts w:hint="eastAsia" w:hAnsi="宋体"/>
                <w:bCs/>
                <w:sz w:val="18"/>
                <w:szCs w:val="18"/>
              </w:rPr>
              <w:t>基础知识</w:t>
            </w: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⑦ 掌握</w:t>
            </w:r>
            <w:r>
              <w:rPr>
                <w:rFonts w:hint="eastAsia" w:hAnsi="宋体"/>
                <w:bCs/>
                <w:sz w:val="18"/>
                <w:szCs w:val="18"/>
                <w:lang w:val="en-US" w:eastAsia="zh-CN"/>
              </w:rPr>
              <w:t>税务</w:t>
            </w:r>
            <w:r>
              <w:rPr>
                <w:rFonts w:hint="eastAsia" w:hAnsi="宋体"/>
                <w:bCs/>
                <w:sz w:val="18"/>
                <w:szCs w:val="18"/>
              </w:rPr>
              <w:t>的基础知识</w:t>
            </w: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⑧ 掌握财经法规与会计职业道德基础知识</w:t>
            </w: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304"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int="default" w:hAnsi="宋体" w:eastAsia="宋体"/>
                <w:bCs/>
                <w:sz w:val="18"/>
                <w:szCs w:val="18"/>
                <w:lang w:val="en-US" w:eastAsia="zh-CN"/>
              </w:rPr>
            </w:pPr>
            <w:r>
              <w:rPr>
                <w:rFonts w:hint="eastAsia" w:hAnsi="宋体"/>
                <w:bCs/>
                <w:sz w:val="18"/>
                <w:szCs w:val="18"/>
              </w:rPr>
              <w:fldChar w:fldCharType="begin"/>
            </w:r>
            <w:r>
              <w:rPr>
                <w:rFonts w:hint="eastAsia" w:hAnsi="宋体"/>
                <w:bCs/>
                <w:sz w:val="18"/>
                <w:szCs w:val="18"/>
              </w:rPr>
              <w:instrText xml:space="preserve"> = 9 \* GB3 \* MERGEFORMAT </w:instrText>
            </w:r>
            <w:r>
              <w:rPr>
                <w:rFonts w:hint="eastAsia" w:hAnsi="宋体"/>
                <w:bCs/>
                <w:sz w:val="18"/>
                <w:szCs w:val="18"/>
              </w:rPr>
              <w:fldChar w:fldCharType="separate"/>
            </w:r>
            <w:r>
              <w:rPr>
                <w:sz w:val="18"/>
                <w:szCs w:val="18"/>
              </w:rPr>
              <w:t>⑨</w:t>
            </w:r>
            <w:r>
              <w:rPr>
                <w:rFonts w:hint="eastAsia" w:hAnsi="宋体"/>
                <w:bCs/>
                <w:sz w:val="18"/>
                <w:szCs w:val="18"/>
              </w:rPr>
              <w:fldChar w:fldCharType="end"/>
            </w:r>
            <w:r>
              <w:rPr>
                <w:rFonts w:hint="eastAsia" w:hAnsi="宋体"/>
                <w:bCs/>
                <w:sz w:val="18"/>
                <w:szCs w:val="18"/>
                <w:lang w:val="en-US" w:eastAsia="zh-CN"/>
              </w:rPr>
              <w:t xml:space="preserve"> 掌握智能财税信息化的基础知识。</w:t>
            </w:r>
          </w:p>
        </w:tc>
      </w:tr>
    </w:tbl>
    <w:p>
      <w:pPr>
        <w:pStyle w:val="51"/>
        <w:ind w:firstLine="0" w:firstLineChars="0"/>
        <w:rPr>
          <w:color w:val="FF0000"/>
        </w:rPr>
      </w:pPr>
    </w:p>
    <w:p>
      <w:pPr>
        <w:pStyle w:val="51"/>
        <w:ind w:firstLine="56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能力</w:t>
      </w:r>
      <w:bookmarkStart w:id="7" w:name="_Toc17537284"/>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（1）具备识别原始凭证、填制记账凭证、登记账簿、期末对账、报表编制和分析的能力。具备准确进行中小企业日常经济业务会计核算的能力； </w:t>
      </w:r>
    </w:p>
    <w:p>
      <w:pPr>
        <w:ind w:firstLine="560"/>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（2）</w:t>
      </w:r>
      <w:r>
        <w:rPr>
          <w:rFonts w:hint="eastAsia" w:ascii="宋体" w:hAnsi="宋体" w:cs="宋体"/>
          <w:color w:val="0D0D0D" w:themeColor="text1" w:themeTint="F2"/>
          <w14:textFill>
            <w14:solidFill>
              <w14:schemeClr w14:val="tx1">
                <w14:lumMod w14:val="95000"/>
                <w14:lumOff w14:val="5000"/>
              </w14:schemeClr>
            </w14:solidFill>
          </w14:textFill>
        </w:rPr>
        <w:t>具体熟练的文字和数字录入能力；</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（3）具备进行财务共享服务、业务财务一体化的业务处理能力； </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（4）具备选择适合的成本核算方法进行产品成本的核算能力； </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（5）具备领购和使用各类发票、填制涉税文书、进行纳税申报、申请减免税等能力； </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（6）</w:t>
      </w:r>
      <w:r>
        <w:rPr>
          <w:rFonts w:hint="default"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 </w:t>
      </w: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具备运用基本的财务管理的基本方法，进行筹资、投资预算，进行基本的财务分析能力； </w:t>
      </w:r>
    </w:p>
    <w:p>
      <w:pPr>
        <w:pStyle w:val="2"/>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（7）具备运用 EXCEL 统计数据、辅助会计核算、进行财务分析的能力； </w:t>
      </w:r>
    </w:p>
    <w:p>
      <w:pPr>
        <w:pStyle w:val="72"/>
        <w:ind w:firstLine="0" w:firstLineChars="0"/>
      </w:pPr>
      <w:r>
        <w:t>六、课程设置及要求</w:t>
      </w:r>
      <w:bookmarkEnd w:id="7"/>
    </w:p>
    <w:p>
      <w:pPr>
        <w:ind w:firstLine="562"/>
        <w:rPr>
          <w:rFonts w:ascii="宋体" w:hAnsi="宋体"/>
          <w:b/>
          <w:bCs/>
          <w:szCs w:val="28"/>
        </w:rPr>
      </w:pPr>
      <w:r>
        <w:rPr>
          <w:rFonts w:hint="eastAsia" w:ascii="宋体" w:hAnsi="宋体"/>
          <w:b/>
          <w:bCs/>
          <w:szCs w:val="28"/>
        </w:rPr>
        <w:t>（一）设计思路</w:t>
      </w:r>
    </w:p>
    <w:p>
      <w:pPr>
        <w:ind w:firstLine="560"/>
        <w:rPr>
          <w:rFonts w:ascii="宋体" w:hAnsi="宋体"/>
          <w:szCs w:val="28"/>
        </w:rPr>
      </w:pPr>
      <w:r>
        <w:rPr>
          <w:rFonts w:hint="eastAsia" w:ascii="宋体" w:hAnsi="宋体"/>
          <w:szCs w:val="28"/>
        </w:rPr>
        <w:t>通过对地方特色行业企业的广泛深入地走访和调研，按照各企业财会人员的工作内容和工作职责进行了进一步的梳理，按照大部分企业财会人员的工作分工和岗位设置，我们确定财会专业学生就业岗位，归纳相关岗位所需职业素质及专业能力，全面构建专业课程体系。财会专业课程体系按照必修课（公共必修课、专业必修课）、限定性选修课（专业认识与专业体验类限定性选修课、公共限定性选修课、财会类专业限定性选修课）、自由选修课三大类构成。公共必修课和专业必修课注重培养学生的综合基础和专业素养，为后续的专业能力学习打下理论上的基础。专业认识与专业体类验限定性选修课是让学生通过对专业体验确定自己未来主攻的专业方向。财会类专业限定性选修课在充分尊重学生的就业意愿和个人兴趣爱好的前提下，提升学生岗位技能和职业素养。</w:t>
      </w:r>
    </w:p>
    <w:p>
      <w:pPr>
        <w:pStyle w:val="47"/>
        <w:ind w:firstLine="562"/>
      </w:pPr>
      <w:bookmarkStart w:id="8" w:name="_Toc17537285"/>
      <w:r>
        <w:t>（二）公共基础课程</w:t>
      </w:r>
      <w:bookmarkEnd w:id="8"/>
    </w:p>
    <w:p>
      <w:pPr>
        <w:ind w:firstLine="560"/>
      </w:pPr>
      <w:r>
        <w:rPr>
          <w:rFonts w:hint="eastAsia"/>
        </w:rPr>
        <w:t>将语文、数学、英语、德育（职业道德与法律、思想道德修养与法律基础、职业生涯、毛泽东思想和中国特色社会）、体育与健康、信息技术、音乐、心理健康</w:t>
      </w:r>
      <w:r>
        <w:rPr>
          <w:rFonts w:hint="eastAsia"/>
          <w:lang w:eastAsia="zh-CN"/>
        </w:rPr>
        <w:t>、</w:t>
      </w:r>
      <w:r>
        <w:rPr>
          <w:rFonts w:hint="eastAsia"/>
          <w:lang w:val="en-US" w:eastAsia="zh-CN"/>
        </w:rPr>
        <w:t>历史</w:t>
      </w:r>
      <w:r>
        <w:rPr>
          <w:rFonts w:hint="eastAsia"/>
        </w:rPr>
        <w:t>列入公共基础必修课程。各门课程的课程目标、主要内容和教学要求暂按教育部中等职业学校公共基础课教学大纲的规定与要求执行，待教育部公布新版公共基础课课程标准后调整执行。</w:t>
      </w:r>
    </w:p>
    <w:p>
      <w:pPr>
        <w:pStyle w:val="47"/>
        <w:ind w:firstLine="562"/>
      </w:pPr>
      <w:bookmarkStart w:id="9" w:name="_Toc17537286"/>
      <w:r>
        <w:t>（三）专业（技能）课程</w:t>
      </w:r>
      <w:bookmarkEnd w:id="9"/>
    </w:p>
    <w:p>
      <w:pPr>
        <w:overflowPunct w:val="0"/>
        <w:ind w:firstLine="560"/>
        <w:rPr>
          <w:rFonts w:ascii="宋体" w:hAnsi="宋体" w:cs="宋体"/>
        </w:rPr>
      </w:pPr>
      <w:r>
        <w:rPr>
          <w:rFonts w:hint="eastAsia" w:ascii="宋体" w:hAnsi="宋体" w:cs="宋体"/>
        </w:rPr>
        <w:t>本专业（技能）核心课程目标、主要内容和教学要求如下：</w:t>
      </w:r>
    </w:p>
    <w:tbl>
      <w:tblPr>
        <w:tblStyle w:val="23"/>
        <w:tblW w:w="11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320"/>
        <w:gridCol w:w="705"/>
        <w:gridCol w:w="645"/>
        <w:gridCol w:w="2874"/>
        <w:gridCol w:w="2130"/>
        <w:gridCol w:w="1155"/>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序号</w:t>
            </w:r>
          </w:p>
        </w:tc>
        <w:tc>
          <w:tcPr>
            <w:tcW w:w="1320"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课程名称</w:t>
            </w:r>
          </w:p>
        </w:tc>
        <w:tc>
          <w:tcPr>
            <w:tcW w:w="1350" w:type="dxa"/>
            <w:gridSpan w:val="2"/>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计划学时</w:t>
            </w:r>
          </w:p>
        </w:tc>
        <w:tc>
          <w:tcPr>
            <w:tcW w:w="2874"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教学目标</w:t>
            </w:r>
          </w:p>
        </w:tc>
        <w:tc>
          <w:tcPr>
            <w:tcW w:w="2130"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教学内容</w:t>
            </w:r>
          </w:p>
        </w:tc>
        <w:tc>
          <w:tcPr>
            <w:tcW w:w="1155"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教学模式</w:t>
            </w:r>
          </w:p>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方法手段</w:t>
            </w:r>
          </w:p>
        </w:tc>
        <w:tc>
          <w:tcPr>
            <w:tcW w:w="2074" w:type="dxa"/>
            <w:vMerge w:val="restart"/>
            <w:vAlign w:val="center"/>
          </w:tcPr>
          <w:p>
            <w:pPr>
              <w:adjustRightInd/>
              <w:snapToGrid/>
              <w:spacing w:before="156" w:beforeLines="50" w:after="62" w:afterLines="20" w:line="240" w:lineRule="exact"/>
              <w:ind w:firstLine="0" w:firstLineChars="0"/>
              <w:jc w:val="center"/>
              <w:rPr>
                <w:rFonts w:hint="default" w:ascii="Arial" w:hAnsi="Arial" w:eastAsia="宋体" w:cs="Arial"/>
                <w:b/>
                <w:sz w:val="18"/>
                <w:szCs w:val="18"/>
                <w:lang w:val="en-US" w:eastAsia="zh-CN"/>
              </w:rPr>
            </w:pPr>
            <w:r>
              <w:rPr>
                <w:rFonts w:hint="eastAsia" w:ascii="Arial" w:hAnsi="Arial" w:cs="Arial"/>
                <w:b/>
                <w:sz w:val="18"/>
                <w:szCs w:val="18"/>
                <w:lang w:val="en-US" w:eastAsia="zh-CN"/>
              </w:rPr>
              <w:t>课程思政育人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Merge w:val="continue"/>
          </w:tcPr>
          <w:p>
            <w:pPr>
              <w:adjustRightInd/>
              <w:snapToGrid/>
              <w:spacing w:before="156" w:beforeLines="50" w:after="62" w:afterLines="20" w:line="240" w:lineRule="exact"/>
              <w:ind w:firstLine="0" w:firstLineChars="0"/>
              <w:rPr>
                <w:rFonts w:ascii="Arial" w:hAnsi="Arial" w:cs="Arial"/>
                <w:b/>
                <w:sz w:val="18"/>
                <w:szCs w:val="18"/>
              </w:rPr>
            </w:pPr>
          </w:p>
        </w:tc>
        <w:tc>
          <w:tcPr>
            <w:tcW w:w="1320"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705" w:type="dxa"/>
          </w:tcPr>
          <w:p>
            <w:pPr>
              <w:adjustRightInd/>
              <w:snapToGrid/>
              <w:spacing w:before="156" w:beforeLines="50" w:after="62" w:afterLines="20" w:line="200" w:lineRule="exact"/>
              <w:ind w:firstLine="0" w:firstLineChars="0"/>
              <w:jc w:val="center"/>
              <w:rPr>
                <w:rFonts w:ascii="Arial" w:hAnsi="Arial" w:cs="Arial"/>
                <w:b/>
                <w:sz w:val="18"/>
                <w:szCs w:val="18"/>
              </w:rPr>
            </w:pPr>
            <w:r>
              <w:rPr>
                <w:rFonts w:hint="eastAsia" w:ascii="Arial" w:hAnsi="Arial" w:cs="Arial"/>
                <w:b/>
                <w:sz w:val="18"/>
                <w:szCs w:val="18"/>
              </w:rPr>
              <w:t>理论</w:t>
            </w:r>
          </w:p>
        </w:tc>
        <w:tc>
          <w:tcPr>
            <w:tcW w:w="645" w:type="dxa"/>
          </w:tcPr>
          <w:p>
            <w:pPr>
              <w:adjustRightInd/>
              <w:snapToGrid/>
              <w:spacing w:before="156" w:beforeLines="50" w:after="62" w:afterLines="20" w:line="200" w:lineRule="exact"/>
              <w:ind w:firstLine="0" w:firstLineChars="0"/>
              <w:jc w:val="center"/>
              <w:rPr>
                <w:rFonts w:ascii="Arial" w:hAnsi="Arial" w:cs="Arial"/>
                <w:b/>
                <w:sz w:val="18"/>
                <w:szCs w:val="18"/>
              </w:rPr>
            </w:pPr>
            <w:r>
              <w:rPr>
                <w:rFonts w:hint="eastAsia" w:ascii="Arial" w:hAnsi="Arial" w:cs="Arial"/>
                <w:b/>
                <w:sz w:val="18"/>
                <w:szCs w:val="18"/>
              </w:rPr>
              <w:t>实践</w:t>
            </w:r>
          </w:p>
        </w:tc>
        <w:tc>
          <w:tcPr>
            <w:tcW w:w="2874"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2130"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1155"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2074"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1320"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基础会计</w:t>
            </w:r>
          </w:p>
        </w:tc>
        <w:tc>
          <w:tcPr>
            <w:tcW w:w="705" w:type="dxa"/>
            <w:vAlign w:val="center"/>
          </w:tcPr>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108</w:t>
            </w:r>
          </w:p>
        </w:tc>
        <w:tc>
          <w:tcPr>
            <w:tcW w:w="645" w:type="dxa"/>
            <w:vAlign w:val="center"/>
          </w:tcPr>
          <w:p>
            <w:pPr>
              <w:ind w:firstLine="420"/>
              <w:jc w:val="center"/>
              <w:rPr>
                <w:rFonts w:hint="eastAsia" w:ascii="宋体" w:hAnsi="宋体" w:eastAsia="宋体" w:cs="宋体"/>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通过本课程的学习，要求学生掌握基础会计的基本原理、基本方法，使学生对会计基本工作的全过程有一个完整的理解，要示学生熟悉企业日常经济业务处理的方法，为后续课程的学习打下坚实的理论基础。</w:t>
            </w:r>
          </w:p>
        </w:tc>
        <w:tc>
          <w:tcPr>
            <w:tcW w:w="2130"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1.会计概述，达到对会计基本理念、整体框架有一个整体的认知；</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2.会计要素与会计平横公式；</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3.账户与复式记账；</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4.会计凭证；</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5.会计账簿；</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6.主要经济业务的核算；</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7.财产清查；</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8.会计核算程序；</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9.财务报表。</w:t>
            </w:r>
          </w:p>
        </w:tc>
        <w:tc>
          <w:tcPr>
            <w:tcW w:w="1155" w:type="dxa"/>
            <w:vAlign w:val="top"/>
          </w:tcPr>
          <w:p>
            <w:pPr>
              <w:ind w:left="0" w:leftChars="0" w:firstLine="0" w:firstLineChars="0"/>
              <w:jc w:val="both"/>
              <w:rPr>
                <w:rFonts w:hint="eastAsia" w:ascii="宋体" w:hAnsi="宋体" w:eastAsia="宋体" w:cs="宋体"/>
                <w:sz w:val="18"/>
                <w:szCs w:val="18"/>
                <w:highlight w:val="none"/>
              </w:rPr>
            </w:pP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建议采用</w:t>
            </w:r>
            <w:r>
              <w:rPr>
                <w:rFonts w:hint="eastAsia" w:ascii="宋体" w:hAnsi="宋体" w:eastAsia="宋体" w:cs="宋体"/>
                <w:sz w:val="18"/>
                <w:szCs w:val="18"/>
                <w:highlight w:val="none"/>
                <w:lang w:val="en-US" w:eastAsia="zh-CN"/>
              </w:rPr>
              <w:t>项目教学法、案例研讨法、情境教学法、角色扮演法</w:t>
            </w:r>
          </w:p>
        </w:tc>
        <w:tc>
          <w:tcPr>
            <w:tcW w:w="2074" w:type="dxa"/>
            <w:vAlign w:val="top"/>
          </w:tcPr>
          <w:p>
            <w:pPr>
              <w:numPr>
                <w:ilvl w:val="0"/>
                <w:numId w:val="0"/>
              </w:numPr>
              <w:jc w:val="both"/>
              <w:rPr>
                <w:rFonts w:hint="eastAsia" w:ascii="宋体" w:hAnsi="宋体" w:cs="宋体"/>
                <w:sz w:val="18"/>
                <w:szCs w:val="18"/>
                <w:highlight w:val="none"/>
                <w:lang w:val="en-US" w:eastAsia="zh-CN"/>
              </w:rPr>
            </w:pPr>
          </w:p>
          <w:p>
            <w:pPr>
              <w:numPr>
                <w:ilvl w:val="0"/>
                <w:numId w:val="0"/>
              </w:numPr>
              <w:jc w:val="both"/>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在内容育人方面，结合爱岗敬业、客观公正、坚持准则、提高技能等会计工作原则，</w:t>
            </w:r>
            <w:r>
              <w:rPr>
                <w:rFonts w:hint="eastAsia" w:ascii="宋体" w:hAnsi="宋体" w:eastAsia="宋体" w:cs="宋体"/>
                <w:sz w:val="18"/>
                <w:szCs w:val="18"/>
                <w:highlight w:val="none"/>
              </w:rPr>
              <w:t>树立正确的世界观、人生观和价值观，培养良好的职业道德素养和遵纪守法的道德品质</w:t>
            </w:r>
            <w:r>
              <w:rPr>
                <w:rFonts w:hint="eastAsia" w:ascii="宋体" w:hAnsi="宋体" w:eastAsia="宋体" w:cs="宋体"/>
                <w:sz w:val="18"/>
                <w:szCs w:val="18"/>
                <w:highlight w:val="none"/>
                <w:lang w:eastAsia="zh-CN"/>
              </w:rPr>
              <w:t>。</w:t>
            </w:r>
          </w:p>
          <w:p>
            <w:pPr>
              <w:ind w:left="0" w:leftChars="0" w:firstLine="0" w:firstLineChars="0"/>
              <w:jc w:val="both"/>
              <w:rPr>
                <w:rFonts w:hint="eastAsia" w:ascii="宋体" w:hAnsi="宋体" w:cs="宋体"/>
                <w:sz w:val="18"/>
                <w:szCs w:val="18"/>
                <w:highlight w:val="none"/>
                <w:lang w:val="en-US" w:eastAsia="zh-CN"/>
              </w:rPr>
            </w:pPr>
            <w:r>
              <w:rPr>
                <w:rFonts w:hint="eastAsia" w:ascii="宋体" w:hAnsi="宋体" w:eastAsia="宋体" w:cs="宋体"/>
                <w:sz w:val="18"/>
                <w:szCs w:val="18"/>
                <w:highlight w:val="none"/>
                <w:lang w:val="en-US" w:eastAsia="zh-CN"/>
              </w:rPr>
              <w:t>2.在方法育人方面，通过项目教学法、案例研讨法、情境教学法、角色扮演法等，将典型工作任务、实务经典案例融入课堂教学，帮助学生正确运用会计职业</w:t>
            </w:r>
            <w:r>
              <w:rPr>
                <w:rFonts w:hint="eastAsia" w:ascii="宋体" w:hAnsi="宋体" w:cs="宋体"/>
                <w:sz w:val="18"/>
                <w:szCs w:val="18"/>
                <w:highlight w:val="none"/>
                <w:lang w:val="en-US" w:eastAsia="zh-CN"/>
              </w:rPr>
              <w:t xml:space="preserve">知识处理日常经济业务，提高职业道德素养的培养。 </w:t>
            </w:r>
          </w:p>
          <w:p>
            <w:pPr>
              <w:ind w:left="0" w:leftChars="0" w:firstLine="0" w:firstLineChars="0"/>
              <w:jc w:val="both"/>
              <w:rPr>
                <w:rFonts w:hint="default"/>
                <w:highlight w:val="none"/>
                <w:lang w:val="en-US" w:eastAsia="zh-CN"/>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在实践育人方面，通过虚拟仿真实训实践教学环节，帮助学生认知职业工作环境，熟悉</w:t>
            </w:r>
            <w:r>
              <w:rPr>
                <w:rFonts w:hint="eastAsia" w:ascii="宋体" w:hAnsi="宋体" w:cs="宋体"/>
                <w:sz w:val="18"/>
                <w:szCs w:val="18"/>
                <w:highlight w:val="none"/>
                <w:lang w:val="en-US" w:eastAsia="zh-CN"/>
              </w:rPr>
              <w:t>会计基本</w:t>
            </w:r>
            <w:r>
              <w:rPr>
                <w:rFonts w:hint="eastAsia" w:ascii="宋体" w:hAnsi="宋体" w:eastAsia="宋体" w:cs="宋体"/>
                <w:sz w:val="18"/>
                <w:szCs w:val="18"/>
                <w:highlight w:val="none"/>
                <w:lang w:val="en-US" w:eastAsia="zh-CN"/>
              </w:rPr>
              <w:t xml:space="preserve">工作任务、建立会计职业认同，培养学生严谨细致的会计“工匠”精神。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1320"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财务会计</w:t>
            </w:r>
          </w:p>
        </w:tc>
        <w:tc>
          <w:tcPr>
            <w:tcW w:w="705" w:type="dxa"/>
            <w:vAlign w:val="center"/>
          </w:tcPr>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216</w:t>
            </w:r>
          </w:p>
        </w:tc>
        <w:tc>
          <w:tcPr>
            <w:tcW w:w="645" w:type="dxa"/>
            <w:vAlign w:val="center"/>
          </w:tcPr>
          <w:p>
            <w:pPr>
              <w:ind w:firstLine="420"/>
              <w:jc w:val="center"/>
              <w:rPr>
                <w:rFonts w:hint="eastAsia" w:ascii="宋体" w:hAnsi="宋体" w:eastAsia="宋体" w:cs="宋体"/>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通过对企业日常业务职业活动和工作过程的介绍和技能训练，使学生掌握企业财务会计的基本理论、基本方法以及 基本账务处理的操作技能；同时，通过配备职业技能实训，培养学生正确分析和解决企业会计核算的一般问题的能力,以便较好地适应从事企业会计核算的需要。培养具有一定理论素质和较强实际操作能力的应用型人才。</w:t>
            </w:r>
          </w:p>
        </w:tc>
        <w:tc>
          <w:tcPr>
            <w:tcW w:w="2130"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1.会计岗位的设置及主要职责。达到完成合理设置会计岗位的基本要求。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2.货币资金、应收款项、存货、固定资产、无形资产等资产类要素的核算方法。达到准确完成资产类会计要素核算的要求。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3.应付款项、应交 税费等负债类要素的核算方法。达到准确完成负债类会计要素核算的要求。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4.实收资本、资本公积、留存收益等权益类要素的核算方法。达到准确完成权益类会计要素核算的要求。 </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5.主营业务收入、主营业务成本、其他业务收入、其他业务成本、投资收益、营业外收入和支出、主营业务利润、其他业务利润、营业利润、利润总额、 所得税、净利润等损益类要素的核算方法。达到准确完成损益类会计要素核算的要求。</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6.报表的编制方法，达到准确完成报表的编制要求。 </w:t>
            </w:r>
          </w:p>
        </w:tc>
        <w:tc>
          <w:tcPr>
            <w:tcW w:w="1155" w:type="dxa"/>
            <w:vAlign w:val="top"/>
          </w:tcPr>
          <w:p>
            <w:pPr>
              <w:ind w:left="0" w:leftChars="0" w:firstLine="0" w:firstLineChars="0"/>
              <w:jc w:val="both"/>
              <w:rPr>
                <w:rFonts w:hint="eastAsia" w:ascii="宋体" w:hAnsi="宋体" w:eastAsia="宋体" w:cs="宋体"/>
                <w:sz w:val="18"/>
                <w:szCs w:val="18"/>
                <w:highlight w:val="none"/>
              </w:rPr>
            </w:pPr>
          </w:p>
          <w:p>
            <w:pPr>
              <w:ind w:left="0" w:leftChars="0"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建议采用项目教学法、角色扮演法</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lang w:val="en-US" w:eastAsia="zh-CN"/>
              </w:rPr>
              <w:t>情境教 学法、案例研讨法</w:t>
            </w:r>
          </w:p>
        </w:tc>
        <w:tc>
          <w:tcPr>
            <w:tcW w:w="2074" w:type="dxa"/>
            <w:vAlign w:val="top"/>
          </w:tcPr>
          <w:p>
            <w:pPr>
              <w:ind w:left="0" w:leftChars="0" w:firstLine="0" w:firstLineChars="0"/>
              <w:jc w:val="both"/>
              <w:rPr>
                <w:rFonts w:hint="eastAsia" w:ascii="宋体" w:hAnsi="宋体" w:eastAsia="宋体" w:cs="宋体"/>
                <w:sz w:val="18"/>
                <w:szCs w:val="18"/>
                <w:highlight w:val="none"/>
                <w:lang w:val="en-US" w:eastAsia="zh-CN"/>
              </w:rPr>
            </w:pP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1.在内容育人方面，结合诚信为本、操守为重、坚持准则、不做假账的会计工作原则，引导学生树立正确的世界观、人生观、价值观，积极践行社会主义核心价值观，将个人职业理想与社会担当有机结合。 </w:t>
            </w: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2.在方法育人方面，通过项目教学法、案例研讨法、情境教学法、角色扮演法等，将典型工作任务、实务经典案例融入课堂教学，帮助学生正确运用会计职业判断、解决会计信息的确认、计量和披露。 </w:t>
            </w: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3.在实践育人方面，通过虚拟仿真实训、企业实地调研等实践教学环节，帮助学生认知职业工作环境，熟悉岗位工作任务、建立会计职业认同，培养学生客观公正、严谨细致的会计“工匠”精神。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3"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1320"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税收基础</w:t>
            </w:r>
          </w:p>
        </w:tc>
        <w:tc>
          <w:tcPr>
            <w:tcW w:w="705" w:type="dxa"/>
            <w:vAlign w:val="center"/>
          </w:tcPr>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108</w:t>
            </w:r>
          </w:p>
        </w:tc>
        <w:tc>
          <w:tcPr>
            <w:tcW w:w="645" w:type="dxa"/>
            <w:vAlign w:val="center"/>
          </w:tcPr>
          <w:p>
            <w:pPr>
              <w:ind w:firstLine="420"/>
              <w:jc w:val="center"/>
              <w:rPr>
                <w:rFonts w:hint="eastAsia" w:ascii="宋体" w:hAnsi="宋体" w:eastAsia="宋体" w:cs="宋体"/>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通过对我国基本税种的介绍和计算训练，使学生较全面地了解税收的基本理论和基本知识，掌握主要税种的征税规定、计税方法。培养具备税法观念，具有企业纳税岗位工作能力的应用型人才。 </w:t>
            </w:r>
          </w:p>
          <w:p>
            <w:pPr>
              <w:ind w:firstLine="0" w:firstLineChars="0"/>
              <w:jc w:val="both"/>
              <w:rPr>
                <w:rFonts w:hint="eastAsia" w:ascii="宋体" w:hAnsi="宋体" w:eastAsia="宋体" w:cs="宋体"/>
                <w:sz w:val="18"/>
                <w:szCs w:val="18"/>
                <w:highlight w:val="none"/>
              </w:rPr>
            </w:pPr>
          </w:p>
        </w:tc>
        <w:tc>
          <w:tcPr>
            <w:tcW w:w="2130" w:type="dxa"/>
            <w:vAlign w:val="top"/>
          </w:tcPr>
          <w:p>
            <w:pPr>
              <w:ind w:firstLine="0" w:firstLineChars="0"/>
              <w:jc w:val="both"/>
              <w:rPr>
                <w:rFonts w:hint="eastAsia" w:ascii="宋体" w:hAnsi="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 xml:space="preserve">企业增值税、消费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税、关税等流转税的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计算。达到准确计算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各类流转税额的要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求。 </w:t>
            </w: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eastAsia="宋体" w:cs="宋体"/>
                <w:sz w:val="18"/>
                <w:szCs w:val="18"/>
                <w:highlight w:val="none"/>
                <w:lang w:val="en-US" w:eastAsia="zh-CN"/>
              </w:rPr>
              <w:t xml:space="preserve">企业所得税、个人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所得税等所得税的计算。达到准确计算各类所得税额的要求。 </w:t>
            </w:r>
          </w:p>
          <w:p>
            <w:pPr>
              <w:numPr>
                <w:ilvl w:val="0"/>
                <w:numId w:val="2"/>
              </w:num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企业其他税费的计算。达到准确计算各类税费的要求。 </w:t>
            </w:r>
          </w:p>
          <w:p>
            <w:pPr>
              <w:pStyle w:val="2"/>
              <w:numPr>
                <w:ilvl w:val="0"/>
                <w:numId w:val="0"/>
              </w:numPr>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4.税收征纳管理</w:t>
            </w:r>
          </w:p>
          <w:p>
            <w:pPr>
              <w:ind w:firstLine="0" w:firstLineChars="0"/>
              <w:jc w:val="both"/>
              <w:rPr>
                <w:rFonts w:hint="eastAsia" w:ascii="宋体" w:hAnsi="宋体" w:eastAsia="宋体" w:cs="宋体"/>
                <w:sz w:val="18"/>
                <w:szCs w:val="18"/>
                <w:highlight w:val="none"/>
              </w:rPr>
            </w:pPr>
          </w:p>
        </w:tc>
        <w:tc>
          <w:tcPr>
            <w:tcW w:w="1155" w:type="dxa"/>
            <w:vAlign w:val="top"/>
          </w:tcPr>
          <w:p>
            <w:pPr>
              <w:ind w:firstLine="0" w:firstLineChars="0"/>
              <w:jc w:val="both"/>
              <w:rPr>
                <w:rFonts w:hint="eastAsia" w:ascii="宋体" w:hAnsi="宋体" w:eastAsia="宋体" w:cs="宋体"/>
                <w:sz w:val="18"/>
                <w:szCs w:val="18"/>
                <w:highlight w:val="none"/>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建议采用</w:t>
            </w:r>
            <w:r>
              <w:rPr>
                <w:rFonts w:hint="eastAsia" w:ascii="宋体" w:hAnsi="宋体" w:eastAsia="宋体" w:cs="宋体"/>
                <w:sz w:val="18"/>
                <w:szCs w:val="18"/>
                <w:highlight w:val="none"/>
                <w:lang w:val="en-US" w:eastAsia="zh-CN"/>
              </w:rPr>
              <w:t>项目教学法、案例研讨法、 情境教学法、角色扮演法</w:t>
            </w:r>
          </w:p>
        </w:tc>
        <w:tc>
          <w:tcPr>
            <w:tcW w:w="2074" w:type="dxa"/>
            <w:vAlign w:val="top"/>
          </w:tcPr>
          <w:p>
            <w:pPr>
              <w:ind w:firstLine="0" w:firstLineChars="0"/>
              <w:jc w:val="both"/>
              <w:rPr>
                <w:rFonts w:hint="eastAsia" w:ascii="宋体" w:hAnsi="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 xml:space="preserve">在内容育人方面，结合对我国基本税种的介绍和计算训练，引导学生严谨计税的工作作风，遵纪守法的思想品质，树立诚信纳税的意识。 </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2.</w:t>
            </w:r>
            <w:r>
              <w:rPr>
                <w:rFonts w:hint="eastAsia" w:ascii="宋体" w:hAnsi="宋体" w:eastAsia="宋体" w:cs="宋体"/>
                <w:sz w:val="18"/>
                <w:szCs w:val="18"/>
                <w:highlight w:val="none"/>
                <w:lang w:val="en-US" w:eastAsia="zh-CN"/>
              </w:rPr>
              <w:t xml:space="preserve">在方法育人方面，通过项目教学法、案例研讨法、情境教学法、角色扮演法等，将典型工作任务、实务经典案例融入课堂教学，帮助学生灵活运用税法知识正确计税报税，履行企业社会责任。 </w:t>
            </w: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 xml:space="preserve">在实践育人方面，通过虚拟仿真实训、实践教学环节，帮助学生认知职业工作环境，熟悉岗位工作任务， 培养学生求真务实、诚信纳税的岗位工作精神。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Align w:val="center"/>
          </w:tcPr>
          <w:p>
            <w:pPr>
              <w:ind w:firstLine="171" w:firstLineChars="95"/>
              <w:rPr>
                <w:rFonts w:hint="eastAsia"/>
                <w:sz w:val="18"/>
                <w:szCs w:val="18"/>
                <w:highlight w:val="none"/>
              </w:rPr>
            </w:pPr>
            <w:r>
              <w:rPr>
                <w:rFonts w:hint="eastAsia"/>
                <w:sz w:val="18"/>
                <w:szCs w:val="18"/>
                <w:highlight w:val="none"/>
              </w:rPr>
              <w:t>4</w:t>
            </w:r>
          </w:p>
        </w:tc>
        <w:tc>
          <w:tcPr>
            <w:tcW w:w="1320" w:type="dxa"/>
            <w:vAlign w:val="center"/>
          </w:tcPr>
          <w:p>
            <w:pPr>
              <w:ind w:firstLine="171" w:firstLineChars="95"/>
              <w:rPr>
                <w:rFonts w:hint="eastAsia"/>
                <w:sz w:val="18"/>
                <w:szCs w:val="18"/>
                <w:highlight w:val="none"/>
              </w:rPr>
            </w:pPr>
            <w:r>
              <w:rPr>
                <w:rFonts w:hint="eastAsia"/>
                <w:sz w:val="18"/>
                <w:szCs w:val="18"/>
                <w:highlight w:val="none"/>
              </w:rPr>
              <w:t>成本会计</w:t>
            </w:r>
          </w:p>
        </w:tc>
        <w:tc>
          <w:tcPr>
            <w:tcW w:w="705" w:type="dxa"/>
            <w:vAlign w:val="center"/>
          </w:tcPr>
          <w:p>
            <w:pPr>
              <w:ind w:left="0" w:leftChars="0" w:firstLine="0" w:firstLineChars="0"/>
              <w:jc w:val="both"/>
              <w:rPr>
                <w:rFonts w:hint="eastAsia"/>
                <w:sz w:val="18"/>
                <w:szCs w:val="18"/>
                <w:highlight w:val="none"/>
              </w:rPr>
            </w:pPr>
            <w:r>
              <w:rPr>
                <w:rFonts w:hint="eastAsia"/>
                <w:sz w:val="18"/>
                <w:szCs w:val="18"/>
                <w:highlight w:val="none"/>
              </w:rPr>
              <w:t>72</w:t>
            </w:r>
          </w:p>
        </w:tc>
        <w:tc>
          <w:tcPr>
            <w:tcW w:w="645" w:type="dxa"/>
            <w:vAlign w:val="center"/>
          </w:tcPr>
          <w:p>
            <w:pPr>
              <w:ind w:firstLine="420"/>
              <w:jc w:val="center"/>
              <w:rPr>
                <w:rFonts w:hint="eastAsia"/>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通过对企业产品成本核算工作过程的学习和职业技能训练，使学生掌握成本费用的归集、分配方法，产品成本的计算方法，成本分析及绩效评价的方法。培养具有成本会计岗位工作能力的应用型人才。 </w:t>
            </w:r>
          </w:p>
          <w:p>
            <w:pPr>
              <w:ind w:firstLine="0" w:firstLineChars="0"/>
              <w:jc w:val="both"/>
              <w:rPr>
                <w:rFonts w:hint="eastAsia"/>
                <w:sz w:val="18"/>
                <w:szCs w:val="18"/>
                <w:highlight w:val="none"/>
              </w:rPr>
            </w:pPr>
          </w:p>
        </w:tc>
        <w:tc>
          <w:tcPr>
            <w:tcW w:w="2130" w:type="dxa"/>
            <w:vAlign w:val="top"/>
          </w:tcPr>
          <w:p>
            <w:pPr>
              <w:numPr>
                <w:ilvl w:val="0"/>
                <w:numId w:val="0"/>
              </w:numPr>
              <w:jc w:val="both"/>
              <w:rPr>
                <w:rFonts w:hint="eastAsia"/>
                <w:sz w:val="18"/>
                <w:szCs w:val="18"/>
                <w:highlight w:val="none"/>
                <w:lang w:val="en-US" w:eastAsia="zh-CN"/>
              </w:rPr>
            </w:pPr>
          </w:p>
          <w:p>
            <w:pPr>
              <w:numPr>
                <w:ilvl w:val="0"/>
                <w:numId w:val="0"/>
              </w:numPr>
              <w:jc w:val="both"/>
              <w:rPr>
                <w:rFonts w:hint="eastAsia"/>
                <w:sz w:val="18"/>
                <w:szCs w:val="18"/>
                <w:highlight w:val="none"/>
                <w:lang w:val="en-US" w:eastAsia="zh-CN"/>
              </w:rPr>
            </w:pPr>
            <w:r>
              <w:rPr>
                <w:rFonts w:hint="eastAsia"/>
                <w:sz w:val="18"/>
                <w:szCs w:val="18"/>
                <w:highlight w:val="none"/>
                <w:lang w:val="en-US" w:eastAsia="zh-CN"/>
              </w:rPr>
              <w:t>1.成本会计的概述；</w:t>
            </w:r>
          </w:p>
          <w:p>
            <w:pPr>
              <w:numPr>
                <w:ilvl w:val="0"/>
                <w:numId w:val="0"/>
              </w:numPr>
              <w:jc w:val="both"/>
              <w:rPr>
                <w:rFonts w:hint="eastAsia"/>
                <w:sz w:val="18"/>
                <w:szCs w:val="18"/>
                <w:highlight w:val="none"/>
              </w:rPr>
            </w:pPr>
            <w:r>
              <w:rPr>
                <w:rFonts w:hint="eastAsia"/>
                <w:sz w:val="18"/>
                <w:szCs w:val="18"/>
                <w:highlight w:val="none"/>
                <w:lang w:val="en-US" w:eastAsia="zh-CN"/>
              </w:rPr>
              <w:t>2.成本核算的要求和一般程序；</w:t>
            </w:r>
          </w:p>
          <w:p>
            <w:pPr>
              <w:numPr>
                <w:ilvl w:val="0"/>
                <w:numId w:val="0"/>
              </w:numPr>
              <w:jc w:val="both"/>
              <w:rPr>
                <w:rFonts w:hint="eastAsia"/>
                <w:sz w:val="18"/>
                <w:szCs w:val="18"/>
                <w:highlight w:val="none"/>
              </w:rPr>
            </w:pPr>
            <w:r>
              <w:rPr>
                <w:rFonts w:hint="eastAsia"/>
                <w:sz w:val="18"/>
                <w:szCs w:val="18"/>
                <w:highlight w:val="none"/>
                <w:lang w:val="en-US" w:eastAsia="zh-CN"/>
              </w:rPr>
              <w:t>3.要素费用</w:t>
            </w:r>
            <w:r>
              <w:rPr>
                <w:rFonts w:hint="eastAsia"/>
                <w:sz w:val="18"/>
                <w:szCs w:val="18"/>
                <w:highlight w:val="none"/>
              </w:rPr>
              <w:t>的归集和分配</w:t>
            </w:r>
            <w:r>
              <w:rPr>
                <w:rFonts w:hint="eastAsia"/>
                <w:sz w:val="18"/>
                <w:szCs w:val="18"/>
                <w:highlight w:val="none"/>
                <w:lang w:val="en-US" w:eastAsia="zh-CN"/>
              </w:rPr>
              <w:t>；</w:t>
            </w:r>
          </w:p>
          <w:p>
            <w:pPr>
              <w:numPr>
                <w:ilvl w:val="0"/>
                <w:numId w:val="0"/>
              </w:numPr>
              <w:jc w:val="both"/>
              <w:rPr>
                <w:rFonts w:hint="default"/>
                <w:sz w:val="18"/>
                <w:szCs w:val="18"/>
                <w:highlight w:val="none"/>
                <w:lang w:val="en-US" w:eastAsia="zh-CN"/>
              </w:rPr>
            </w:pPr>
            <w:r>
              <w:rPr>
                <w:rFonts w:hint="eastAsia"/>
                <w:sz w:val="18"/>
                <w:szCs w:val="18"/>
                <w:highlight w:val="none"/>
                <w:lang w:val="en-US" w:eastAsia="zh-CN"/>
              </w:rPr>
              <w:t>4.辅助生产费用的归集和分配；</w:t>
            </w:r>
          </w:p>
          <w:p>
            <w:pPr>
              <w:numPr>
                <w:ilvl w:val="0"/>
                <w:numId w:val="0"/>
              </w:numPr>
              <w:jc w:val="both"/>
              <w:rPr>
                <w:rFonts w:hint="default"/>
                <w:sz w:val="18"/>
                <w:szCs w:val="18"/>
                <w:highlight w:val="none"/>
                <w:lang w:val="en-US" w:eastAsia="zh-CN"/>
              </w:rPr>
            </w:pPr>
            <w:r>
              <w:rPr>
                <w:rFonts w:hint="eastAsia"/>
                <w:sz w:val="18"/>
                <w:szCs w:val="18"/>
                <w:highlight w:val="none"/>
                <w:lang w:val="en-US" w:eastAsia="zh-CN"/>
              </w:rPr>
              <w:t>5.制造费用与生产损失的归集和分配；</w:t>
            </w:r>
          </w:p>
          <w:p>
            <w:pPr>
              <w:numPr>
                <w:ilvl w:val="0"/>
                <w:numId w:val="0"/>
              </w:numPr>
              <w:jc w:val="both"/>
              <w:rPr>
                <w:rFonts w:hint="eastAsia"/>
                <w:sz w:val="18"/>
                <w:szCs w:val="18"/>
                <w:highlight w:val="none"/>
                <w:lang w:val="en-US" w:eastAsia="zh-CN"/>
              </w:rPr>
            </w:pPr>
            <w:r>
              <w:rPr>
                <w:rFonts w:hint="eastAsia"/>
                <w:sz w:val="18"/>
                <w:szCs w:val="18"/>
                <w:highlight w:val="none"/>
                <w:lang w:val="en-US" w:eastAsia="zh-CN"/>
              </w:rPr>
              <w:t>6.</w:t>
            </w:r>
            <w:r>
              <w:rPr>
                <w:rFonts w:hint="eastAsia"/>
                <w:sz w:val="18"/>
                <w:szCs w:val="18"/>
                <w:highlight w:val="none"/>
              </w:rPr>
              <w:t>生产费用在完工产品和月末在产品之间的分配</w:t>
            </w:r>
            <w:r>
              <w:rPr>
                <w:rFonts w:hint="eastAsia"/>
                <w:sz w:val="18"/>
                <w:szCs w:val="18"/>
                <w:highlight w:val="none"/>
                <w:lang w:val="en-US" w:eastAsia="zh-CN"/>
              </w:rPr>
              <w:t>；</w:t>
            </w:r>
          </w:p>
          <w:p>
            <w:pPr>
              <w:numPr>
                <w:ilvl w:val="0"/>
                <w:numId w:val="0"/>
              </w:numPr>
              <w:jc w:val="both"/>
              <w:rPr>
                <w:rFonts w:hint="eastAsia"/>
                <w:sz w:val="18"/>
                <w:szCs w:val="18"/>
                <w:highlight w:val="none"/>
                <w:lang w:val="en-US" w:eastAsia="zh-CN"/>
              </w:rPr>
            </w:pPr>
            <w:r>
              <w:rPr>
                <w:rFonts w:hint="eastAsia"/>
                <w:sz w:val="18"/>
                <w:szCs w:val="18"/>
                <w:highlight w:val="none"/>
                <w:lang w:val="en-US" w:eastAsia="zh-CN"/>
              </w:rPr>
              <w:t>7.产品成本计算的基本方法——</w:t>
            </w:r>
            <w:r>
              <w:rPr>
                <w:rFonts w:hint="eastAsia"/>
                <w:sz w:val="18"/>
                <w:szCs w:val="18"/>
                <w:highlight w:val="none"/>
              </w:rPr>
              <w:t>品种法、分批法、分步法的计算</w:t>
            </w:r>
            <w:r>
              <w:rPr>
                <w:rFonts w:hint="eastAsia"/>
                <w:sz w:val="18"/>
                <w:szCs w:val="18"/>
                <w:highlight w:val="none"/>
                <w:lang w:val="en-US" w:eastAsia="zh-CN"/>
              </w:rPr>
              <w:t>；</w:t>
            </w:r>
          </w:p>
          <w:p>
            <w:pPr>
              <w:numPr>
                <w:ilvl w:val="0"/>
                <w:numId w:val="0"/>
              </w:numPr>
              <w:jc w:val="both"/>
              <w:rPr>
                <w:rFonts w:hint="default"/>
                <w:sz w:val="18"/>
                <w:szCs w:val="18"/>
                <w:highlight w:val="none"/>
                <w:lang w:val="en-US" w:eastAsia="zh-CN"/>
              </w:rPr>
            </w:pPr>
            <w:r>
              <w:rPr>
                <w:rFonts w:hint="eastAsia"/>
                <w:sz w:val="18"/>
                <w:szCs w:val="18"/>
                <w:highlight w:val="none"/>
                <w:lang w:val="en-US" w:eastAsia="zh-CN"/>
              </w:rPr>
              <w:t>8.产品成本的辅助方法；</w:t>
            </w:r>
          </w:p>
          <w:p>
            <w:pPr>
              <w:numPr>
                <w:ilvl w:val="0"/>
                <w:numId w:val="0"/>
              </w:numPr>
              <w:jc w:val="both"/>
              <w:rPr>
                <w:rFonts w:hint="eastAsia"/>
                <w:sz w:val="18"/>
                <w:szCs w:val="18"/>
                <w:highlight w:val="none"/>
              </w:rPr>
            </w:pPr>
            <w:r>
              <w:rPr>
                <w:rFonts w:hint="eastAsia"/>
                <w:sz w:val="18"/>
                <w:szCs w:val="18"/>
                <w:highlight w:val="none"/>
                <w:lang w:val="en-US" w:eastAsia="zh-CN"/>
              </w:rPr>
              <w:t>9.</w:t>
            </w:r>
            <w:r>
              <w:rPr>
                <w:rFonts w:hint="eastAsia"/>
                <w:sz w:val="18"/>
                <w:szCs w:val="18"/>
                <w:highlight w:val="none"/>
              </w:rPr>
              <w:t>成本报表的编制与分析</w:t>
            </w:r>
          </w:p>
        </w:tc>
        <w:tc>
          <w:tcPr>
            <w:tcW w:w="1155" w:type="dxa"/>
            <w:vAlign w:val="top"/>
          </w:tcPr>
          <w:p>
            <w:pPr>
              <w:ind w:firstLine="0" w:firstLineChars="0"/>
              <w:jc w:val="both"/>
              <w:rPr>
                <w:rFonts w:hint="eastAsia"/>
                <w:sz w:val="18"/>
                <w:szCs w:val="18"/>
                <w:highlight w:val="none"/>
              </w:rPr>
            </w:pPr>
          </w:p>
          <w:p>
            <w:pPr>
              <w:ind w:firstLine="0" w:firstLineChars="0"/>
              <w:jc w:val="both"/>
              <w:rPr>
                <w:rFonts w:hint="default" w:eastAsia="宋体"/>
                <w:sz w:val="18"/>
                <w:szCs w:val="18"/>
                <w:highlight w:val="none"/>
                <w:lang w:val="en-US" w:eastAsia="zh-CN"/>
              </w:rPr>
            </w:pPr>
            <w:r>
              <w:rPr>
                <w:rFonts w:hint="eastAsia"/>
                <w:sz w:val="18"/>
                <w:szCs w:val="18"/>
                <w:highlight w:val="none"/>
              </w:rPr>
              <w:t>建议采用项目教学法、实践操作法</w:t>
            </w:r>
            <w:r>
              <w:rPr>
                <w:rFonts w:hint="eastAsia"/>
                <w:sz w:val="18"/>
                <w:szCs w:val="18"/>
                <w:highlight w:val="none"/>
                <w:lang w:eastAsia="zh-CN"/>
              </w:rPr>
              <w:t>、</w:t>
            </w:r>
            <w:r>
              <w:rPr>
                <w:rFonts w:hint="eastAsia"/>
                <w:sz w:val="18"/>
                <w:szCs w:val="18"/>
                <w:highlight w:val="none"/>
                <w:lang w:val="en-US" w:eastAsia="zh-CN"/>
              </w:rPr>
              <w:t>案例研讨法、情境教学法、角色扮演法</w:t>
            </w:r>
          </w:p>
        </w:tc>
        <w:tc>
          <w:tcPr>
            <w:tcW w:w="2074" w:type="dxa"/>
            <w:vAlign w:val="top"/>
          </w:tcPr>
          <w:p>
            <w:pPr>
              <w:ind w:firstLine="0" w:firstLineChars="0"/>
              <w:jc w:val="both"/>
              <w:rPr>
                <w:rFonts w:hint="eastAsia"/>
                <w:sz w:val="18"/>
                <w:szCs w:val="18"/>
                <w:highlight w:val="none"/>
                <w:lang w:val="en-US" w:eastAsia="zh-CN"/>
              </w:rPr>
            </w:pPr>
          </w:p>
          <w:p>
            <w:pPr>
              <w:ind w:firstLine="0" w:firstLineChars="0"/>
              <w:jc w:val="both"/>
              <w:rPr>
                <w:rFonts w:hint="eastAsia"/>
                <w:sz w:val="18"/>
                <w:szCs w:val="18"/>
                <w:highlight w:val="none"/>
              </w:rPr>
            </w:pPr>
            <w:r>
              <w:rPr>
                <w:rFonts w:hint="eastAsia"/>
                <w:sz w:val="18"/>
                <w:szCs w:val="18"/>
                <w:highlight w:val="none"/>
                <w:lang w:val="en-US" w:eastAsia="zh-CN"/>
              </w:rPr>
              <w:t xml:space="preserve">1.在内容育人方面，结合成本核算和成本管理方法的讲解学习，引导学生建立成本控制意识，树立成本效益观念，为建立节约型社会承担社会责任。 </w:t>
            </w:r>
          </w:p>
          <w:p>
            <w:pPr>
              <w:ind w:firstLine="0" w:firstLineChars="0"/>
              <w:jc w:val="both"/>
              <w:rPr>
                <w:rFonts w:hint="eastAsia"/>
                <w:sz w:val="18"/>
                <w:szCs w:val="18"/>
                <w:highlight w:val="none"/>
              </w:rPr>
            </w:pPr>
            <w:r>
              <w:rPr>
                <w:rFonts w:hint="eastAsia"/>
                <w:sz w:val="18"/>
                <w:szCs w:val="18"/>
                <w:highlight w:val="none"/>
                <w:lang w:val="en-US" w:eastAsia="zh-CN"/>
              </w:rPr>
              <w:t xml:space="preserve">2.在方法育人方面，通过项目教学法、案例研讨法、情境教学法、角色扮演法等，将典型工作任务、实务经典案例融入课堂教学，帮助学生正确运用相 </w:t>
            </w:r>
          </w:p>
          <w:p>
            <w:pPr>
              <w:ind w:firstLine="0" w:firstLineChars="0"/>
              <w:jc w:val="both"/>
              <w:rPr>
                <w:rFonts w:hint="eastAsia"/>
                <w:sz w:val="18"/>
                <w:szCs w:val="18"/>
                <w:highlight w:val="none"/>
              </w:rPr>
            </w:pPr>
            <w:r>
              <w:rPr>
                <w:rFonts w:hint="eastAsia"/>
                <w:sz w:val="18"/>
                <w:szCs w:val="18"/>
                <w:highlight w:val="none"/>
                <w:lang w:val="en-US" w:eastAsia="zh-CN"/>
              </w:rPr>
              <w:t xml:space="preserve">关理论和方法服务于企业，对企业进行有效的成本核算和管理工作。 </w:t>
            </w:r>
          </w:p>
          <w:p>
            <w:pPr>
              <w:ind w:firstLine="0" w:firstLineChars="0"/>
              <w:jc w:val="both"/>
              <w:rPr>
                <w:rFonts w:hint="eastAsia"/>
                <w:sz w:val="18"/>
                <w:szCs w:val="18"/>
                <w:highlight w:val="none"/>
              </w:rPr>
            </w:pPr>
            <w:r>
              <w:rPr>
                <w:rFonts w:hint="eastAsia"/>
                <w:sz w:val="18"/>
                <w:szCs w:val="18"/>
                <w:highlight w:val="none"/>
                <w:lang w:val="en-US" w:eastAsia="zh-CN"/>
              </w:rPr>
              <w:t xml:space="preserve">3.在实践育人方面，通过模拟仿真实训、实践教学环节，帮助学生认知企业工作环境，熟悉成本核算和管理 </w:t>
            </w:r>
          </w:p>
          <w:p>
            <w:pPr>
              <w:keepNext w:val="0"/>
              <w:keepLines w:val="0"/>
              <w:widowControl/>
              <w:suppressLineNumbers w:val="0"/>
              <w:ind w:left="0" w:leftChars="0" w:firstLine="0" w:firstLineChars="0"/>
              <w:jc w:val="both"/>
              <w:rPr>
                <w:rFonts w:hint="eastAsia"/>
                <w:sz w:val="21"/>
                <w:szCs w:val="21"/>
                <w:highlight w:val="none"/>
              </w:rPr>
            </w:pPr>
            <w:r>
              <w:rPr>
                <w:rFonts w:hint="eastAsia"/>
                <w:sz w:val="18"/>
                <w:szCs w:val="18"/>
                <w:highlight w:val="none"/>
                <w:lang w:val="en-US" w:eastAsia="zh-CN"/>
              </w:rPr>
              <w:t>岗位工作务，培养学生</w:t>
            </w:r>
            <w:r>
              <w:rPr>
                <w:rFonts w:hint="eastAsia" w:ascii="宋体" w:hAnsi="宋体" w:eastAsia="宋体" w:cs="宋体"/>
                <w:color w:val="000000"/>
                <w:kern w:val="0"/>
                <w:sz w:val="18"/>
                <w:szCs w:val="18"/>
                <w:highlight w:val="none"/>
                <w:lang w:val="en-US" w:eastAsia="zh-CN" w:bidi="ar"/>
              </w:rPr>
              <w:t xml:space="preserve">严谨细致、节约增效的财务精神。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1320"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财务管理</w:t>
            </w:r>
          </w:p>
        </w:tc>
        <w:tc>
          <w:tcPr>
            <w:tcW w:w="705" w:type="dxa"/>
            <w:vAlign w:val="center"/>
          </w:tcPr>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72</w:t>
            </w:r>
          </w:p>
        </w:tc>
        <w:tc>
          <w:tcPr>
            <w:tcW w:w="645" w:type="dxa"/>
            <w:vAlign w:val="center"/>
          </w:tcPr>
          <w:p>
            <w:pPr>
              <w:ind w:firstLine="420"/>
              <w:jc w:val="center"/>
              <w:rPr>
                <w:rFonts w:hint="eastAsia" w:ascii="宋体" w:hAnsi="宋体" w:eastAsia="宋体" w:cs="宋体"/>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通过对财务管理工作内容的学习，使学生牢固梳理企业理财观念，掌握财务管理基本理论与方法，熟练掌握公司筹资、投资、等财务基本技能，能</w:t>
            </w:r>
            <w:r>
              <w:rPr>
                <w:rFonts w:hint="eastAsia" w:ascii="宋体" w:hAnsi="宋体" w:cs="宋体"/>
                <w:sz w:val="18"/>
                <w:szCs w:val="18"/>
                <w:highlight w:val="none"/>
                <w:lang w:val="en-US" w:eastAsia="zh-CN"/>
              </w:rPr>
              <w:t>对企业</w:t>
            </w:r>
            <w:r>
              <w:rPr>
                <w:rFonts w:hint="eastAsia" w:ascii="宋体" w:hAnsi="宋体" w:eastAsia="宋体" w:cs="宋体"/>
                <w:sz w:val="18"/>
                <w:szCs w:val="18"/>
                <w:highlight w:val="none"/>
                <w:lang w:val="en-US" w:eastAsia="zh-CN"/>
              </w:rPr>
              <w:t xml:space="preserve">在生产经营过程中资金运动进行分析、评价及决策。培养具有财务管理岗位工作能力的应用型人才。 </w:t>
            </w:r>
          </w:p>
          <w:p>
            <w:pPr>
              <w:ind w:firstLine="0" w:firstLineChars="0"/>
              <w:jc w:val="both"/>
              <w:rPr>
                <w:rFonts w:hint="eastAsia" w:ascii="宋体" w:hAnsi="宋体" w:eastAsia="宋体" w:cs="宋体"/>
                <w:sz w:val="18"/>
                <w:szCs w:val="18"/>
                <w:highlight w:val="none"/>
              </w:rPr>
            </w:pPr>
          </w:p>
        </w:tc>
        <w:tc>
          <w:tcPr>
            <w:tcW w:w="2130" w:type="dxa"/>
            <w:vAlign w:val="top"/>
          </w:tcPr>
          <w:p>
            <w:pPr>
              <w:numPr>
                <w:ilvl w:val="0"/>
                <w:numId w:val="0"/>
              </w:numPr>
              <w:jc w:val="both"/>
              <w:rPr>
                <w:rFonts w:hint="eastAsia" w:ascii="宋体" w:hAnsi="宋体" w:cs="宋体"/>
                <w:sz w:val="18"/>
                <w:szCs w:val="18"/>
                <w:highlight w:val="none"/>
                <w:lang w:val="en-US" w:eastAsia="zh-CN"/>
              </w:rPr>
            </w:pPr>
          </w:p>
          <w:p>
            <w:pPr>
              <w:numPr>
                <w:ilvl w:val="0"/>
                <w:numId w:val="0"/>
              </w:numPr>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rPr>
              <w:t>财务管理</w:t>
            </w:r>
            <w:r>
              <w:rPr>
                <w:rFonts w:hint="eastAsia" w:ascii="宋体" w:hAnsi="宋体" w:cs="宋体"/>
                <w:sz w:val="18"/>
                <w:szCs w:val="18"/>
                <w:highlight w:val="none"/>
                <w:lang w:val="en-US" w:eastAsia="zh-CN"/>
              </w:rPr>
              <w:t>的基础知识；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2.筹资管理；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rPr>
              <w:t>流动资产的</w:t>
            </w:r>
            <w:r>
              <w:rPr>
                <w:rFonts w:hint="eastAsia" w:ascii="宋体" w:hAnsi="宋体" w:cs="宋体"/>
                <w:sz w:val="18"/>
                <w:szCs w:val="18"/>
                <w:highlight w:val="none"/>
                <w:lang w:val="en-US" w:eastAsia="zh-CN"/>
              </w:rPr>
              <w:t>管理；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4.固定资产与无形资产，及</w:t>
            </w:r>
            <w:r>
              <w:rPr>
                <w:rFonts w:hint="eastAsia" w:ascii="宋体" w:hAnsi="宋体" w:eastAsia="宋体" w:cs="宋体"/>
                <w:sz w:val="18"/>
                <w:szCs w:val="18"/>
                <w:highlight w:val="none"/>
              </w:rPr>
              <w:t>投资</w:t>
            </w:r>
            <w:r>
              <w:rPr>
                <w:rFonts w:hint="eastAsia" w:ascii="宋体" w:hAnsi="宋体" w:cs="宋体"/>
                <w:sz w:val="18"/>
                <w:szCs w:val="18"/>
                <w:highlight w:val="none"/>
                <w:lang w:val="en-US" w:eastAsia="zh-CN"/>
              </w:rPr>
              <w:t>管理；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5.</w:t>
            </w:r>
            <w:r>
              <w:rPr>
                <w:rFonts w:hint="eastAsia" w:ascii="宋体" w:hAnsi="宋体" w:eastAsia="宋体" w:cs="宋体"/>
                <w:sz w:val="18"/>
                <w:szCs w:val="18"/>
                <w:highlight w:val="none"/>
              </w:rPr>
              <w:t>营业收入</w:t>
            </w:r>
            <w:r>
              <w:rPr>
                <w:rFonts w:hint="eastAsia" w:ascii="宋体" w:hAnsi="宋体" w:cs="宋体"/>
                <w:sz w:val="18"/>
                <w:szCs w:val="18"/>
                <w:highlight w:val="none"/>
                <w:lang w:val="en-US" w:eastAsia="zh-CN"/>
              </w:rPr>
              <w:t>管理；</w:t>
            </w:r>
          </w:p>
          <w:p>
            <w:pPr>
              <w:numPr>
                <w:ilvl w:val="0"/>
                <w:numId w:val="0"/>
              </w:numPr>
              <w:jc w:val="both"/>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6.</w:t>
            </w:r>
            <w:r>
              <w:rPr>
                <w:rFonts w:hint="eastAsia" w:ascii="宋体" w:hAnsi="宋体" w:eastAsia="宋体" w:cs="宋体"/>
                <w:sz w:val="18"/>
                <w:szCs w:val="18"/>
                <w:highlight w:val="none"/>
              </w:rPr>
              <w:t>利润</w:t>
            </w:r>
            <w:r>
              <w:rPr>
                <w:rFonts w:hint="eastAsia" w:ascii="宋体" w:hAnsi="宋体" w:cs="宋体"/>
                <w:sz w:val="18"/>
                <w:szCs w:val="18"/>
                <w:highlight w:val="none"/>
                <w:lang w:val="en-US" w:eastAsia="zh-CN"/>
              </w:rPr>
              <w:t>与利润分配管理</w:t>
            </w:r>
          </w:p>
          <w:p>
            <w:pPr>
              <w:numPr>
                <w:ilvl w:val="0"/>
                <w:numId w:val="0"/>
              </w:numPr>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7.</w:t>
            </w:r>
            <w:r>
              <w:rPr>
                <w:rFonts w:hint="eastAsia" w:ascii="宋体" w:hAnsi="宋体" w:eastAsia="宋体" w:cs="宋体"/>
                <w:sz w:val="18"/>
                <w:szCs w:val="18"/>
                <w:highlight w:val="none"/>
              </w:rPr>
              <w:t>财务分析</w:t>
            </w:r>
          </w:p>
        </w:tc>
        <w:tc>
          <w:tcPr>
            <w:tcW w:w="1155" w:type="dxa"/>
            <w:vAlign w:val="top"/>
          </w:tcPr>
          <w:p>
            <w:pPr>
              <w:ind w:firstLine="0" w:firstLineChars="0"/>
              <w:jc w:val="both"/>
              <w:rPr>
                <w:rFonts w:hint="eastAsia" w:ascii="宋体" w:hAnsi="宋体" w:eastAsia="宋体" w:cs="宋体"/>
                <w:sz w:val="18"/>
                <w:szCs w:val="18"/>
                <w:highlight w:val="none"/>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建议采用</w:t>
            </w:r>
            <w:r>
              <w:rPr>
                <w:rFonts w:hint="eastAsia" w:ascii="宋体" w:hAnsi="宋体" w:eastAsia="宋体" w:cs="宋体"/>
                <w:sz w:val="18"/>
                <w:szCs w:val="18"/>
                <w:highlight w:val="none"/>
                <w:lang w:val="en-US" w:eastAsia="zh-CN"/>
              </w:rPr>
              <w:t>项目教学法、案例研讨法、 情境教学法、角色扮演法</w:t>
            </w:r>
          </w:p>
        </w:tc>
        <w:tc>
          <w:tcPr>
            <w:tcW w:w="2074" w:type="dxa"/>
            <w:vAlign w:val="top"/>
          </w:tcPr>
          <w:p>
            <w:pPr>
              <w:ind w:firstLine="0" w:firstLineChars="0"/>
              <w:jc w:val="both"/>
              <w:rPr>
                <w:rFonts w:hint="eastAsia" w:ascii="宋体" w:hAnsi="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 xml:space="preserve">在内容育人方面，结合筹资管理、投资管理、等相关岗位工作内容，引导学生建立正确的财务管理意识，将货币的时间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价值融入财务管理实务工作，树立正确的理财观念。 </w:t>
            </w: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eastAsia="宋体" w:cs="宋体"/>
                <w:sz w:val="18"/>
                <w:szCs w:val="18"/>
                <w:highlight w:val="none"/>
                <w:lang w:val="en-US" w:eastAsia="zh-CN"/>
              </w:rPr>
              <w:t xml:space="preserve">在方法育人方面，通过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项目教学法、案例研讨法、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情境教学法、角色扮演法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等，将典型工作任务、实务经典案例融入课堂教学，帮助学生正确运用相关理论帮助企业进行有效财务管理。 </w:t>
            </w: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在实践育人方面，通过</w:t>
            </w:r>
            <w:r>
              <w:rPr>
                <w:rFonts w:hint="eastAsia" w:ascii="宋体" w:hAnsi="宋体" w:cs="宋体"/>
                <w:sz w:val="18"/>
                <w:szCs w:val="18"/>
                <w:highlight w:val="none"/>
                <w:lang w:val="en-US" w:eastAsia="zh-CN"/>
              </w:rPr>
              <w:t>模拟</w:t>
            </w:r>
            <w:r>
              <w:rPr>
                <w:rFonts w:hint="eastAsia" w:ascii="宋体" w:hAnsi="宋体" w:eastAsia="宋体" w:cs="宋体"/>
                <w:sz w:val="18"/>
                <w:szCs w:val="18"/>
                <w:highlight w:val="none"/>
                <w:lang w:val="en-US" w:eastAsia="zh-CN"/>
              </w:rPr>
              <w:t>仿真实训实践教学环节，帮助学生认知职业工作环境，熟悉岗位工作任务，培养学生客观公正、严谨</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lang w:val="en-US" w:eastAsia="zh-CN"/>
              </w:rPr>
              <w:t>细致的财务“工匠”精神。</w:t>
            </w:r>
          </w:p>
        </w:tc>
      </w:tr>
    </w:tbl>
    <w:p>
      <w:pPr>
        <w:pStyle w:val="2"/>
        <w:ind w:firstLine="0" w:firstLineChars="0"/>
      </w:pPr>
    </w:p>
    <w:p>
      <w:pPr>
        <w:pStyle w:val="72"/>
        <w:ind w:firstLine="0" w:firstLineChars="0"/>
      </w:pPr>
      <w:bookmarkStart w:id="10" w:name="_Toc17537287"/>
      <w:r>
        <w:rPr>
          <w:rFonts w:hint="eastAsia"/>
        </w:rPr>
        <w:t>七</w:t>
      </w:r>
      <w:r>
        <w:t>、教学进程总体安排</w:t>
      </w:r>
      <w:bookmarkEnd w:id="10"/>
    </w:p>
    <w:p>
      <w:pPr>
        <w:overflowPunct w:val="0"/>
        <w:ind w:firstLine="560"/>
        <w:rPr>
          <w:rFonts w:hint="eastAsia" w:ascii="宋体" w:hAnsi="宋体" w:cs="宋体"/>
          <w:szCs w:val="28"/>
        </w:rPr>
      </w:pPr>
      <w:r>
        <w:rPr>
          <w:rFonts w:hint="eastAsia" w:ascii="宋体" w:hAnsi="宋体" w:cs="宋体"/>
          <w:szCs w:val="28"/>
        </w:rPr>
        <w:t>本专业教学进程如表5所示：</w:t>
      </w:r>
    </w:p>
    <w:p>
      <w:pPr>
        <w:pStyle w:val="2"/>
        <w:ind w:firstLine="420"/>
      </w:pPr>
    </w:p>
    <w:p>
      <w:pPr>
        <w:pStyle w:val="73"/>
        <w:spacing w:after="156" w:afterLines="50" w:line="240" w:lineRule="auto"/>
        <w:ind w:firstLine="0" w:firstLineChars="0"/>
        <w:rPr>
          <w:sz w:val="24"/>
          <w:szCs w:val="24"/>
        </w:rPr>
      </w:pPr>
      <w:r>
        <w:rPr>
          <w:rFonts w:hint="eastAsia"/>
          <w:sz w:val="24"/>
          <w:szCs w:val="24"/>
        </w:rPr>
        <w:t>表5本专业教学进程表</w:t>
      </w:r>
    </w:p>
    <w:tbl>
      <w:tblPr>
        <w:tblStyle w:val="23"/>
        <w:tblW w:w="8940" w:type="dxa"/>
        <w:jc w:val="center"/>
        <w:tblLayout w:type="fixed"/>
        <w:tblCellMar>
          <w:top w:w="0" w:type="dxa"/>
          <w:left w:w="0" w:type="dxa"/>
          <w:bottom w:w="0" w:type="dxa"/>
          <w:right w:w="0" w:type="dxa"/>
        </w:tblCellMar>
      </w:tblPr>
      <w:tblGrid>
        <w:gridCol w:w="559"/>
        <w:gridCol w:w="375"/>
        <w:gridCol w:w="444"/>
        <w:gridCol w:w="1103"/>
        <w:gridCol w:w="840"/>
        <w:gridCol w:w="679"/>
        <w:gridCol w:w="444"/>
        <w:gridCol w:w="446"/>
        <w:gridCol w:w="623"/>
        <w:gridCol w:w="447"/>
        <w:gridCol w:w="447"/>
        <w:gridCol w:w="386"/>
        <w:gridCol w:w="509"/>
        <w:gridCol w:w="444"/>
        <w:gridCol w:w="444"/>
        <w:gridCol w:w="358"/>
        <w:gridCol w:w="392"/>
      </w:tblGrid>
      <w:tr>
        <w:tblPrEx>
          <w:tblCellMar>
            <w:top w:w="0" w:type="dxa"/>
            <w:left w:w="0" w:type="dxa"/>
            <w:bottom w:w="0" w:type="dxa"/>
            <w:right w:w="0" w:type="dxa"/>
          </w:tblCellMar>
        </w:tblPrEx>
        <w:trPr>
          <w:trHeight w:val="270" w:hRule="atLeast"/>
          <w:jc w:val="center"/>
        </w:trPr>
        <w:tc>
          <w:tcPr>
            <w:tcW w:w="9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课程属性</w:t>
            </w:r>
          </w:p>
        </w:tc>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序号</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课程名称</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课程代码</w:t>
            </w:r>
          </w:p>
        </w:tc>
        <w:tc>
          <w:tcPr>
            <w:tcW w:w="6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性质</w:t>
            </w:r>
          </w:p>
        </w:tc>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考试</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方式</w:t>
            </w:r>
          </w:p>
        </w:tc>
        <w:tc>
          <w:tcPr>
            <w:tcW w:w="4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学分</w:t>
            </w:r>
          </w:p>
        </w:tc>
        <w:tc>
          <w:tcPr>
            <w:tcW w:w="1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教学时数</w:t>
            </w:r>
          </w:p>
        </w:tc>
        <w:tc>
          <w:tcPr>
            <w:tcW w:w="253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课程教学各学期周学时/实践周</w:t>
            </w:r>
          </w:p>
        </w:tc>
      </w:tr>
      <w:tr>
        <w:tblPrEx>
          <w:tblCellMar>
            <w:top w:w="0" w:type="dxa"/>
            <w:left w:w="0" w:type="dxa"/>
            <w:bottom w:w="0" w:type="dxa"/>
            <w:right w:w="0" w:type="dxa"/>
          </w:tblCellMar>
        </w:tblPrEx>
        <w:trPr>
          <w:trHeight w:val="42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总</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学时</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理论</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学时</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实践</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学时</w:t>
            </w: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一</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二</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三</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四</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五</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六</w:t>
            </w:r>
          </w:p>
        </w:tc>
      </w:tr>
      <w:tr>
        <w:tblPrEx>
          <w:tblCellMar>
            <w:top w:w="0" w:type="dxa"/>
            <w:left w:w="0" w:type="dxa"/>
            <w:bottom w:w="0" w:type="dxa"/>
            <w:right w:w="0" w:type="dxa"/>
          </w:tblCellMar>
        </w:tblPrEx>
        <w:trPr>
          <w:trHeight w:val="270" w:hRule="atLeast"/>
          <w:jc w:val="center"/>
        </w:trPr>
        <w:tc>
          <w:tcPr>
            <w:tcW w:w="9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公共基础课程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300"/>
              <w:rPr>
                <w:rFonts w:hint="eastAsia"/>
                <w:sz w:val="15"/>
                <w:szCs w:val="15"/>
              </w:rPr>
            </w:pPr>
            <w:r>
              <w:rPr>
                <w:rFonts w:hint="eastAsia"/>
                <w:sz w:val="15"/>
                <w:szCs w:val="15"/>
              </w:rPr>
              <w:t>语文</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jc w:val="left"/>
              <w:rPr>
                <w:rFonts w:hint="default" w:ascii="宋体" w:hAnsi="宋体" w:eastAsia="宋体"/>
                <w:sz w:val="13"/>
                <w:szCs w:val="13"/>
                <w:lang w:val="en-US" w:eastAsia="zh-CN"/>
              </w:rPr>
            </w:pPr>
            <w:r>
              <w:rPr>
                <w:rFonts w:hint="eastAsia" w:ascii="宋体" w:hAnsi="宋体"/>
                <w:sz w:val="13"/>
                <w:szCs w:val="13"/>
                <w:lang w:val="en-US" w:eastAsia="zh-CN"/>
              </w:rPr>
              <w:t>24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ind w:firstLine="26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ind w:firstLine="26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ascii="宋体" w:hAnsi="宋体" w:cs="宋体"/>
                <w:color w:val="000000"/>
                <w:sz w:val="13"/>
                <w:szCs w:val="13"/>
                <w:highlight w:val="none"/>
              </w:rPr>
            </w:pPr>
            <w:r>
              <w:rPr>
                <w:rFonts w:hint="eastAsia" w:ascii="宋体" w:hAnsi="宋体" w:cs="宋体"/>
                <w:color w:val="000000"/>
                <w:sz w:val="13"/>
                <w:szCs w:val="13"/>
                <w:highlight w:val="none"/>
              </w:rPr>
              <w:t>4</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hint="eastAsia" w:ascii="宋体" w:hAnsi="宋体" w:eastAsia="宋体" w:cs="宋体"/>
                <w:color w:val="000000"/>
                <w:sz w:val="13"/>
                <w:szCs w:val="13"/>
                <w:highlight w:val="none"/>
                <w:lang w:val="en-US" w:eastAsia="zh-CN"/>
              </w:rPr>
            </w:pPr>
            <w:r>
              <w:rPr>
                <w:rFonts w:hint="eastAsia" w:ascii="宋体" w:hAnsi="宋体" w:cs="宋体"/>
                <w:color w:val="000000"/>
                <w:sz w:val="13"/>
                <w:szCs w:val="13"/>
                <w:highlight w:val="none"/>
                <w:lang w:val="en-US" w:eastAsia="zh-CN"/>
              </w:rPr>
              <w:t>4</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300" w:firstLineChars="200"/>
              <w:rPr>
                <w:rFonts w:hint="eastAsia"/>
                <w:sz w:val="15"/>
                <w:szCs w:val="15"/>
              </w:rPr>
            </w:pPr>
            <w:r>
              <w:rPr>
                <w:rFonts w:hint="eastAsia"/>
                <w:sz w:val="15"/>
                <w:szCs w:val="15"/>
              </w:rPr>
              <w:t>数学</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eastAsia="宋体"/>
                <w:sz w:val="13"/>
                <w:szCs w:val="13"/>
                <w:lang w:val="en-US" w:eastAsia="zh-CN"/>
              </w:rPr>
            </w:pPr>
            <w:r>
              <w:rPr>
                <w:sz w:val="13"/>
                <w:szCs w:val="13"/>
              </w:rPr>
              <w:t>2</w:t>
            </w:r>
            <w:r>
              <w:rPr>
                <w:rFonts w:hint="eastAsia"/>
                <w:sz w:val="13"/>
                <w:szCs w:val="13"/>
                <w:lang w:val="en-US" w:eastAsia="zh-CN"/>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highlight w:val="none"/>
              </w:rPr>
            </w:pPr>
            <w:r>
              <w:rPr>
                <w:rFonts w:hint="eastAsia" w:ascii="宋体" w:hAnsi="宋体" w:cs="宋体"/>
                <w:color w:val="000000"/>
                <w:sz w:val="13"/>
                <w:szCs w:val="13"/>
                <w:highlight w:val="none"/>
              </w:rPr>
              <w:t>4</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highlight w:val="none"/>
              </w:rPr>
            </w:pPr>
            <w:r>
              <w:rPr>
                <w:rFonts w:hint="eastAsia" w:ascii="宋体" w:hAnsi="宋体" w:cs="宋体"/>
                <w:color w:val="000000"/>
                <w:sz w:val="13"/>
                <w:szCs w:val="13"/>
                <w:highlight w:val="none"/>
                <w:lang w:val="en-US" w:eastAsia="zh-CN"/>
              </w:rPr>
              <w:t>4</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300" w:firstLineChars="200"/>
              <w:rPr>
                <w:rFonts w:hint="eastAsia"/>
                <w:sz w:val="15"/>
                <w:szCs w:val="15"/>
              </w:rPr>
            </w:pPr>
            <w:r>
              <w:rPr>
                <w:rFonts w:hint="eastAsia"/>
                <w:sz w:val="15"/>
                <w:szCs w:val="15"/>
              </w:rPr>
              <w:t>英语</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default" w:eastAsia="宋体"/>
                <w:sz w:val="13"/>
                <w:szCs w:val="13"/>
                <w:lang w:val="en-US" w:eastAsia="zh-CN"/>
              </w:rPr>
            </w:pPr>
            <w:r>
              <w:rPr>
                <w:rFonts w:hint="eastAsia"/>
                <w:sz w:val="13"/>
                <w:szCs w:val="13"/>
                <w:lang w:val="en-US" w:eastAsia="zh-CN"/>
              </w:rPr>
              <w:t>24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4</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highlight w:val="none"/>
              </w:rPr>
            </w:pPr>
            <w:r>
              <w:rPr>
                <w:rFonts w:hint="eastAsia" w:ascii="宋体" w:hAnsi="宋体" w:cs="宋体"/>
                <w:color w:val="000000"/>
                <w:sz w:val="13"/>
                <w:szCs w:val="13"/>
                <w:highlight w:val="none"/>
                <w:lang w:val="en-US" w:eastAsia="zh-CN"/>
              </w:rPr>
              <w:t>4</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hint="default" w:ascii="宋体" w:hAnsi="宋体" w:eastAsia="宋体" w:cs="宋体"/>
                <w:color w:val="000000"/>
                <w:sz w:val="13"/>
                <w:szCs w:val="13"/>
                <w:highlight w:val="none"/>
                <w:lang w:val="en-US" w:eastAsia="zh-CN"/>
              </w:rPr>
            </w:pPr>
            <w:r>
              <w:rPr>
                <w:rFonts w:hint="eastAsia" w:ascii="宋体" w:hAnsi="宋体" w:cs="宋体"/>
                <w:color w:val="000000"/>
                <w:sz w:val="13"/>
                <w:szCs w:val="13"/>
                <w:highlight w:val="none"/>
                <w:lang w:val="en-US" w:eastAsia="zh-CN"/>
              </w:rPr>
              <w:t>4</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hint="eastAsia"/>
                <w:sz w:val="15"/>
                <w:szCs w:val="15"/>
                <w:highlight w:val="none"/>
              </w:rPr>
            </w:pPr>
            <w:r>
              <w:rPr>
                <w:rFonts w:hint="eastAsia"/>
                <w:sz w:val="15"/>
                <w:szCs w:val="15"/>
                <w:highlight w:val="none"/>
              </w:rPr>
              <w:t>职业道德与法律</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kern w:val="0"/>
                <w:sz w:val="13"/>
                <w:szCs w:val="13"/>
                <w:lang w:bidi="ar"/>
              </w:rPr>
              <w:t>2</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hint="eastAsia"/>
                <w:sz w:val="15"/>
                <w:szCs w:val="15"/>
                <w:highlight w:val="none"/>
              </w:rPr>
            </w:pPr>
            <w:r>
              <w:rPr>
                <w:rFonts w:hint="eastAsia"/>
                <w:sz w:val="15"/>
                <w:szCs w:val="15"/>
                <w:highlight w:val="none"/>
              </w:rPr>
              <w:t>思想道德修养与法律基础</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sz w:val="13"/>
                <w:szCs w:val="13"/>
              </w:rPr>
              <w:t>8</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160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hint="eastAsia" w:ascii="宋体" w:hAnsi="宋体" w:eastAsia="宋体" w:cs="宋体"/>
                <w:color w:val="000000"/>
                <w:sz w:val="13"/>
                <w:szCs w:val="13"/>
                <w:highlight w:val="yellow"/>
                <w:lang w:val="en-US" w:eastAsia="zh-CN"/>
              </w:rPr>
            </w:pPr>
            <w:r>
              <w:rPr>
                <w:rFonts w:hint="eastAsia" w:ascii="宋体" w:hAnsi="宋体" w:cs="宋体"/>
                <w:color w:val="000000"/>
                <w:sz w:val="13"/>
                <w:szCs w:val="13"/>
              </w:rPr>
              <w:t>4</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hint="eastAsia" w:ascii="宋体" w:hAnsi="宋体" w:eastAsia="宋体" w:cs="宋体"/>
                <w:color w:val="000000"/>
                <w:sz w:val="13"/>
                <w:szCs w:val="13"/>
                <w:highlight w:val="yellow"/>
                <w:lang w:val="en-US" w:eastAsia="zh-CN"/>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hint="eastAsia"/>
                <w:sz w:val="15"/>
                <w:szCs w:val="15"/>
                <w:highlight w:val="none"/>
              </w:rPr>
            </w:pPr>
            <w:r>
              <w:rPr>
                <w:rFonts w:hint="eastAsia"/>
                <w:sz w:val="15"/>
                <w:szCs w:val="15"/>
                <w:highlight w:val="none"/>
              </w:rPr>
              <w:t>职业生涯规划</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hint="eastAsia"/>
                <w:sz w:val="15"/>
                <w:szCs w:val="15"/>
                <w:highlight w:val="none"/>
              </w:rPr>
            </w:pPr>
            <w:r>
              <w:rPr>
                <w:rFonts w:hint="eastAsia"/>
                <w:sz w:val="15"/>
                <w:szCs w:val="15"/>
                <w:highlight w:val="none"/>
              </w:rPr>
              <w:t>毛泽东思想和中国特色社会主义理论体系概论</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sz w:val="13"/>
                <w:szCs w:val="13"/>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4</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9" w:firstLineChars="133"/>
              <w:rPr>
                <w:rFonts w:hint="eastAsia"/>
                <w:sz w:val="15"/>
                <w:szCs w:val="15"/>
              </w:rPr>
            </w:pPr>
            <w:r>
              <w:rPr>
                <w:rFonts w:hint="eastAsia"/>
                <w:sz w:val="15"/>
                <w:szCs w:val="15"/>
              </w:rPr>
              <w:t>信息技术</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sz w:val="13"/>
                <w:szCs w:val="13"/>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kern w:val="0"/>
                <w:sz w:val="13"/>
                <w:szCs w:val="13"/>
                <w:lang w:bidi="ar"/>
              </w:rPr>
              <w:t>2</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kern w:val="0"/>
                <w:sz w:val="13"/>
                <w:szCs w:val="13"/>
                <w:lang w:bidi="ar"/>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9</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9" w:firstLineChars="133"/>
              <w:rPr>
                <w:rFonts w:hint="eastAsia"/>
                <w:sz w:val="15"/>
                <w:szCs w:val="15"/>
              </w:rPr>
            </w:pPr>
            <w:r>
              <w:rPr>
                <w:rFonts w:hint="eastAsia"/>
                <w:sz w:val="15"/>
                <w:szCs w:val="15"/>
              </w:rPr>
              <w:t>体育与健康</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sz w:val="13"/>
                <w:szCs w:val="13"/>
              </w:rPr>
              <w:t>12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240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kern w:val="0"/>
                <w:sz w:val="13"/>
                <w:szCs w:val="13"/>
                <w:lang w:bidi="ar"/>
              </w:rPr>
              <w:t>2</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kern w:val="0"/>
                <w:sz w:val="13"/>
                <w:szCs w:val="13"/>
                <w:lang w:bidi="ar"/>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9" w:firstLineChars="133"/>
              <w:rPr>
                <w:rFonts w:hint="eastAsia"/>
                <w:sz w:val="15"/>
                <w:szCs w:val="15"/>
              </w:rPr>
            </w:pPr>
            <w:r>
              <w:rPr>
                <w:rFonts w:hint="eastAsia"/>
                <w:sz w:val="15"/>
                <w:szCs w:val="15"/>
              </w:rPr>
              <w:t>艺术（音乐）</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1</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9" w:firstLineChars="133"/>
              <w:rPr>
                <w:rFonts w:hint="eastAsia"/>
                <w:sz w:val="15"/>
                <w:szCs w:val="15"/>
              </w:rPr>
            </w:pPr>
            <w:r>
              <w:rPr>
                <w:rFonts w:hint="eastAsia"/>
                <w:sz w:val="15"/>
                <w:szCs w:val="15"/>
              </w:rPr>
              <w:t>心理健康</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ascii="宋体" w:hAnsi="宋体" w:eastAsia="宋体" w:cs="宋体"/>
                <w:sz w:val="13"/>
                <w:szCs w:val="13"/>
              </w:rPr>
            </w:pPr>
            <w:r>
              <w:rPr>
                <w:rFonts w:hint="eastAsia" w:ascii="宋体" w:hAnsi="宋体" w:eastAsia="宋体" w:cs="宋体"/>
                <w:sz w:val="13"/>
                <w:szCs w:val="13"/>
              </w:rPr>
              <w:t>1</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kern w:val="0"/>
                <w:sz w:val="13"/>
                <w:szCs w:val="13"/>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199" w:firstLineChars="133"/>
              <w:rPr>
                <w:rFonts w:hint="eastAsia"/>
                <w:sz w:val="15"/>
                <w:szCs w:val="15"/>
              </w:rPr>
            </w:pPr>
            <w:r>
              <w:rPr>
                <w:rFonts w:hint="eastAsia"/>
                <w:sz w:val="15"/>
                <w:szCs w:val="15"/>
                <w:lang w:val="en-US" w:eastAsia="zh-CN"/>
              </w:rPr>
              <w:t>历史</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rFonts w:hint="eastAsia" w:eastAsia="宋体"/>
                <w:sz w:val="13"/>
                <w:szCs w:val="13"/>
                <w:lang w:val="en-US" w:eastAsia="zh-CN"/>
              </w:rPr>
            </w:pPr>
            <w:r>
              <w:rPr>
                <w:rFonts w:hint="eastAsia"/>
                <w:sz w:val="13"/>
                <w:szCs w:val="13"/>
                <w:lang w:val="en-US" w:eastAsia="zh-CN"/>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ind w:firstLine="26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hint="eastAsia"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hint="eastAsia"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1</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hint="eastAsia" w:ascii="宋体" w:hAnsi="宋体" w:eastAsia="宋体" w:cs="宋体"/>
                <w:color w:val="000000"/>
                <w:sz w:val="13"/>
                <w:szCs w:val="13"/>
                <w:lang w:val="en-US" w:eastAsia="zh-CN"/>
              </w:rPr>
            </w:pPr>
            <w:r>
              <w:rPr>
                <w:rFonts w:hint="eastAsia" w:ascii="宋体" w:hAnsi="宋体" w:cs="宋体"/>
                <w:color w:val="000000"/>
                <w:sz w:val="13"/>
                <w:szCs w:val="13"/>
              </w:rPr>
              <w:t>10</w:t>
            </w:r>
            <w:r>
              <w:rPr>
                <w:rFonts w:hint="eastAsia" w:ascii="宋体" w:hAnsi="宋体" w:cs="宋体"/>
                <w:color w:val="000000"/>
                <w:sz w:val="13"/>
                <w:szCs w:val="13"/>
                <w:lang w:val="en-US" w:eastAsia="zh-CN"/>
              </w:rPr>
              <w:t>9</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2180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ascii="宋体" w:hAnsi="宋体" w:cs="宋体"/>
                <w:color w:val="000000"/>
                <w:sz w:val="13"/>
                <w:szCs w:val="13"/>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hint="eastAsia" w:ascii="宋体" w:hAnsi="宋体" w:eastAsia="宋体" w:cs="宋体"/>
                <w:color w:val="000000"/>
                <w:sz w:val="13"/>
                <w:szCs w:val="13"/>
                <w:lang w:val="en-US" w:eastAsia="zh-CN"/>
              </w:rPr>
            </w:pPr>
            <w:r>
              <w:rPr>
                <w:rFonts w:hint="eastAsia" w:ascii="宋体" w:hAnsi="宋体" w:cs="宋体"/>
                <w:color w:val="000000"/>
                <w:sz w:val="13"/>
                <w:szCs w:val="13"/>
              </w:rPr>
              <w:t>2</w:t>
            </w:r>
            <w:r>
              <w:rPr>
                <w:rFonts w:hint="eastAsia" w:ascii="宋体" w:hAnsi="宋体" w:cs="宋体"/>
                <w:color w:val="000000"/>
                <w:sz w:val="13"/>
                <w:szCs w:val="13"/>
                <w:lang w:val="en-US" w:eastAsia="zh-CN"/>
              </w:rPr>
              <w:t>1</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20</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ascii="宋体" w:hAnsi="宋体" w:cs="宋体"/>
                <w:color w:val="000000"/>
                <w:sz w:val="13"/>
                <w:szCs w:val="13"/>
              </w:rPr>
            </w:pPr>
            <w:r>
              <w:rPr>
                <w:rFonts w:hint="eastAsia" w:ascii="宋体" w:hAnsi="宋体" w:cs="宋体"/>
                <w:color w:val="000000"/>
                <w:sz w:val="13"/>
                <w:szCs w:val="13"/>
              </w:rPr>
              <w:t>16</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ascii="宋体" w:hAnsi="宋体" w:cs="宋体"/>
                <w:color w:val="000000"/>
                <w:sz w:val="13"/>
                <w:szCs w:val="13"/>
              </w:rPr>
            </w:pPr>
            <w:r>
              <w:rPr>
                <w:rFonts w:hint="eastAsia" w:ascii="宋体" w:hAnsi="宋体" w:cs="宋体"/>
                <w:color w:val="000000"/>
                <w:sz w:val="13"/>
                <w:szCs w:val="13"/>
              </w:rPr>
              <w:t>16</w:t>
            </w: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ascii="宋体" w:hAnsi="宋体" w:cs="宋体"/>
                <w:color w:val="000000"/>
                <w:sz w:val="13"/>
                <w:szCs w:val="13"/>
              </w:rPr>
            </w:pPr>
            <w:r>
              <w:rPr>
                <w:rFonts w:hint="eastAsia" w:ascii="宋体" w:hAnsi="宋体" w:cs="宋体"/>
                <w:color w:val="000000"/>
                <w:sz w:val="13"/>
                <w:szCs w:val="13"/>
              </w:rPr>
              <w:t>18</w:t>
            </w: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ascii="宋体" w:hAnsi="宋体" w:cs="宋体"/>
                <w:color w:val="000000"/>
                <w:sz w:val="13"/>
                <w:szCs w:val="13"/>
              </w:rPr>
            </w:pPr>
            <w:r>
              <w:rPr>
                <w:rFonts w:hint="eastAsia" w:ascii="宋体" w:hAnsi="宋体" w:cs="宋体"/>
                <w:color w:val="000000"/>
                <w:sz w:val="13"/>
                <w:szCs w:val="13"/>
              </w:rPr>
              <w:t>18</w:t>
            </w:r>
          </w:p>
        </w:tc>
      </w:tr>
      <w:tr>
        <w:tblPrEx>
          <w:tblCellMar>
            <w:top w:w="0" w:type="dxa"/>
            <w:left w:w="0" w:type="dxa"/>
            <w:bottom w:w="0" w:type="dxa"/>
            <w:right w:w="0" w:type="dxa"/>
          </w:tblCellMar>
        </w:tblPrEx>
        <w:trPr>
          <w:trHeight w:val="270" w:hRule="atLeast"/>
          <w:jc w:val="center"/>
        </w:trPr>
        <w:tc>
          <w:tcPr>
            <w:tcW w:w="55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专业</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（技能）课程</w:t>
            </w:r>
          </w:p>
        </w:tc>
        <w:tc>
          <w:tcPr>
            <w:tcW w:w="37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专业融合课程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150" w:firstLineChars="100"/>
              <w:jc w:val="left"/>
              <w:textAlignment w:val="center"/>
              <w:rPr>
                <w:rFonts w:ascii="宋体" w:hAnsi="宋体" w:cs="宋体"/>
                <w:color w:val="000000"/>
                <w:sz w:val="15"/>
                <w:szCs w:val="15"/>
              </w:rPr>
            </w:pPr>
            <w:r>
              <w:rPr>
                <w:rFonts w:ascii="宋体" w:hAnsi="宋体" w:cs="宋体"/>
                <w:color w:val="000000"/>
                <w:sz w:val="15"/>
                <w:szCs w:val="15"/>
              </w:rPr>
              <w:t>基础会计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r>
              <w:rPr>
                <w:rFonts w:hint="eastAsia" w:ascii="宋体" w:hAnsi="宋体" w:cs="宋体"/>
                <w:color w:val="000000"/>
                <w:kern w:val="0"/>
                <w:sz w:val="15"/>
                <w:szCs w:val="15"/>
                <w:highlight w:val="none"/>
                <w:lang w:bidi="ar"/>
              </w:rPr>
              <w:t>6</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highlight w:val="none"/>
                <w:lang w:val="en-US" w:eastAsia="zh-CN" w:bidi="ar"/>
              </w:rPr>
            </w:pPr>
            <w:r>
              <w:rPr>
                <w:rFonts w:hint="eastAsia" w:ascii="宋体" w:hAnsi="宋体" w:cs="宋体"/>
                <w:color w:val="000000"/>
                <w:kern w:val="0"/>
                <w:sz w:val="15"/>
                <w:szCs w:val="15"/>
                <w:highlight w:val="none"/>
                <w:lang w:val="en-US" w:eastAsia="zh-CN" w:bidi="ar"/>
              </w:rPr>
              <w:t>120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r>
              <w:rPr>
                <w:rFonts w:hint="eastAsia" w:ascii="宋体" w:hAnsi="宋体" w:cs="宋体"/>
                <w:color w:val="000000"/>
                <w:sz w:val="15"/>
                <w:szCs w:val="15"/>
                <w:highlight w:val="none"/>
              </w:rPr>
              <w:t>6</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专业核心课程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sz w:val="13"/>
                <w:szCs w:val="13"/>
              </w:rPr>
            </w:pPr>
            <w:r>
              <w:rPr>
                <w:sz w:val="13"/>
                <w:szCs w:val="13"/>
              </w:rPr>
              <w:t>财务会计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240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sz w:val="13"/>
                <w:szCs w:val="13"/>
              </w:rPr>
            </w:pPr>
            <w:r>
              <w:rPr>
                <w:sz w:val="13"/>
                <w:szCs w:val="13"/>
              </w:rPr>
              <w:t>税收基础</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6</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120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18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rPr>
                <w:sz w:val="13"/>
                <w:szCs w:val="13"/>
              </w:rPr>
            </w:pPr>
            <w:r>
              <w:rPr>
                <w:sz w:val="13"/>
                <w:szCs w:val="13"/>
              </w:rPr>
              <w:t>成本会计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b/>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bCs/>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b/>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19</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sz w:val="13"/>
                <w:szCs w:val="13"/>
              </w:rPr>
            </w:pPr>
            <w:r>
              <w:rPr>
                <w:sz w:val="13"/>
                <w:szCs w:val="13"/>
              </w:rPr>
              <w:t>财务管理</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bCs/>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b/>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4</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198" w:firstLineChars="153"/>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b/>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bCs/>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25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left"/>
              <w:rPr>
                <w:rFonts w:ascii="宋体" w:hAnsi="宋体" w:cs="宋体"/>
                <w:color w:val="000000"/>
                <w:sz w:val="15"/>
                <w:szCs w:val="15"/>
                <w:highlight w:val="yellow"/>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32</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640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专业拓展课程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26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both"/>
              <w:textAlignment w:val="center"/>
              <w:rPr>
                <w:rFonts w:ascii="宋体" w:hAnsi="宋体" w:cs="宋体"/>
                <w:color w:val="000000"/>
                <w:sz w:val="15"/>
                <w:szCs w:val="15"/>
              </w:rPr>
            </w:pPr>
            <w:r>
              <w:rPr>
                <w:rFonts w:ascii="宋体" w:hAnsi="宋体" w:cs="宋体"/>
                <w:color w:val="000000"/>
                <w:sz w:val="15"/>
                <w:szCs w:val="15"/>
              </w:rPr>
              <w:t>财经素养</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9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both"/>
              <w:textAlignment w:val="center"/>
              <w:rPr>
                <w:rFonts w:ascii="宋体" w:hAnsi="宋体" w:cs="宋体"/>
                <w:color w:val="000000"/>
                <w:sz w:val="15"/>
                <w:szCs w:val="15"/>
              </w:rPr>
            </w:pPr>
            <w:r>
              <w:rPr>
                <w:rFonts w:ascii="宋体" w:hAnsi="宋体" w:cs="宋体"/>
                <w:color w:val="000000"/>
                <w:sz w:val="15"/>
                <w:szCs w:val="15"/>
              </w:rPr>
              <w:t>会计基本技能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1</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28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both"/>
              <w:textAlignment w:val="center"/>
              <w:rPr>
                <w:rFonts w:ascii="宋体" w:hAnsi="宋体" w:cs="宋体"/>
                <w:color w:val="000000"/>
                <w:sz w:val="15"/>
                <w:szCs w:val="15"/>
              </w:rPr>
            </w:pPr>
            <w:r>
              <w:rPr>
                <w:rFonts w:ascii="宋体" w:hAnsi="宋体" w:cs="宋体"/>
                <w:color w:val="000000"/>
                <w:sz w:val="15"/>
                <w:szCs w:val="15"/>
              </w:rPr>
              <w:t>基础会计实训</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29</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left="0" w:leftChars="0" w:firstLine="0" w:firstLineChars="0"/>
              <w:rPr>
                <w:sz w:val="13"/>
                <w:szCs w:val="13"/>
              </w:rPr>
            </w:pPr>
            <w:r>
              <w:rPr>
                <w:sz w:val="13"/>
                <w:szCs w:val="13"/>
              </w:rPr>
              <w:t>出纳实务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left="0" w:leftChars="0" w:firstLine="0" w:firstLineChars="0"/>
              <w:rPr>
                <w:sz w:val="13"/>
                <w:szCs w:val="13"/>
              </w:rPr>
            </w:pPr>
            <w:r>
              <w:rPr>
                <w:rFonts w:hint="eastAsia"/>
                <w:sz w:val="13"/>
                <w:szCs w:val="13"/>
              </w:rPr>
              <w:t>智能财税</w:t>
            </w:r>
            <w:r>
              <w:rPr>
                <w:rFonts w:hint="eastAsia"/>
                <w:sz w:val="13"/>
                <w:szCs w:val="13"/>
                <w:lang w:val="en-US" w:eastAsia="zh-CN"/>
              </w:rPr>
              <w:t>信息化</w:t>
            </w:r>
            <w:r>
              <w:rPr>
                <w:sz w:val="13"/>
                <w:szCs w:val="13"/>
              </w:rPr>
              <w:t>（</w:t>
            </w:r>
            <w:r>
              <w:rPr>
                <w:rFonts w:hint="eastAsia"/>
                <w:sz w:val="13"/>
                <w:szCs w:val="13"/>
              </w:rPr>
              <w:t>1+X）</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left="0" w:leftChars="0" w:firstLine="0" w:firstLineChars="0"/>
              <w:rPr>
                <w:sz w:val="13"/>
                <w:szCs w:val="13"/>
              </w:rPr>
            </w:pPr>
            <w:r>
              <w:rPr>
                <w:sz w:val="13"/>
                <w:szCs w:val="13"/>
              </w:rPr>
              <w:t>会计模拟实训</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r>
              <w:rPr>
                <w:sz w:val="13"/>
                <w:szCs w:val="13"/>
              </w:rPr>
              <w:t>贸易型内销企业</w:t>
            </w:r>
            <w:r>
              <w:rPr>
                <w:rFonts w:hint="eastAsia"/>
                <w:sz w:val="13"/>
                <w:szCs w:val="13"/>
              </w:rPr>
              <w:t xml:space="preserve"> 做账实操</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4</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r>
              <w:rPr>
                <w:sz w:val="13"/>
                <w:szCs w:val="13"/>
              </w:rPr>
              <w:t>会计分岗实操</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r>
              <w:rPr>
                <w:sz w:val="13"/>
                <w:szCs w:val="13"/>
              </w:rPr>
              <w:t>小企业会计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r>
              <w:rPr>
                <w:sz w:val="13"/>
                <w:szCs w:val="13"/>
              </w:rPr>
              <w:t>初级会计实务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5</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100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5</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r>
              <w:rPr>
                <w:sz w:val="13"/>
                <w:szCs w:val="13"/>
              </w:rPr>
              <w:t>初级会计经济法</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5</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100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5</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r>
              <w:rPr>
                <w:rFonts w:hint="eastAsia" w:ascii="宋体" w:hAnsi="宋体" w:cs="宋体"/>
                <w:color w:val="000000"/>
                <w:kern w:val="0"/>
                <w:sz w:val="15"/>
                <w:szCs w:val="15"/>
                <w:lang w:bidi="ar"/>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37</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740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2</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8</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8</w:t>
            </w: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8</w:t>
            </w: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8</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合计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rPr>
              <w:t>17</w:t>
            </w:r>
            <w:r>
              <w:rPr>
                <w:rFonts w:hint="eastAsia" w:ascii="宋体" w:hAnsi="宋体" w:cs="宋体"/>
                <w:color w:val="000000"/>
                <w:sz w:val="15"/>
                <w:szCs w:val="15"/>
                <w:lang w:val="en-US" w:eastAsia="zh-CN"/>
              </w:rPr>
              <w:t>8</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3560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rPr>
              <w:t>2</w:t>
            </w:r>
            <w:r>
              <w:rPr>
                <w:rFonts w:hint="eastAsia" w:ascii="宋体" w:hAnsi="宋体" w:cs="宋体"/>
                <w:color w:val="000000"/>
                <w:sz w:val="15"/>
                <w:szCs w:val="15"/>
                <w:lang w:val="en-US" w:eastAsia="zh-CN"/>
              </w:rPr>
              <w:t>9</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rPr>
              <w:t>2</w:t>
            </w:r>
            <w:r>
              <w:rPr>
                <w:rFonts w:hint="eastAsia" w:ascii="宋体" w:hAnsi="宋体" w:cs="宋体"/>
                <w:color w:val="000000"/>
                <w:sz w:val="15"/>
                <w:szCs w:val="15"/>
                <w:lang w:val="en-US" w:eastAsia="zh-CN"/>
              </w:rPr>
              <w:t>9</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30</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30</w:t>
            </w: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30</w:t>
            </w: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30</w:t>
            </w:r>
          </w:p>
        </w:tc>
      </w:tr>
      <w:tr>
        <w:tblPrEx>
          <w:tblCellMar>
            <w:top w:w="0" w:type="dxa"/>
            <w:left w:w="0" w:type="dxa"/>
            <w:bottom w:w="0" w:type="dxa"/>
            <w:right w:w="0" w:type="dxa"/>
          </w:tblCellMar>
        </w:tblPrEx>
        <w:trPr>
          <w:trHeight w:val="270" w:hRule="atLeast"/>
          <w:jc w:val="center"/>
        </w:trPr>
        <w:tc>
          <w:tcPr>
            <w:tcW w:w="9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素质拓展课及</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其他教学环节</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33</w:t>
            </w: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textAlignment w:val="center"/>
              <w:rPr>
                <w:rFonts w:ascii="宋体" w:hAnsi="宋体" w:cs="宋体"/>
                <w:color w:val="000000"/>
                <w:sz w:val="15"/>
                <w:szCs w:val="15"/>
              </w:rPr>
            </w:pPr>
            <w:r>
              <w:rPr>
                <w:rFonts w:hint="eastAsia" w:ascii="宋体" w:hAnsi="宋体" w:cs="宋体"/>
                <w:color w:val="000000"/>
                <w:kern w:val="0"/>
                <w:sz w:val="15"/>
                <w:szCs w:val="15"/>
                <w:lang w:bidi="ar"/>
              </w:rPr>
              <w:t xml:space="preserve">    根据上级文件结合学校情况开设，主要包含国家安全教育、节能减排、绿色环保、金融知识、社会责任、人口资源、海洋科学、管理等人文素养、科学素养方面的拓展课程。</w:t>
            </w: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34</w:t>
            </w: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军事训练及入学教育</w:t>
            </w: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识岗</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习岗</w:t>
            </w: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跟岗</w:t>
            </w: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42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顶岗（毕业设计）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444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总计</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178</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3560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29</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29</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30</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30</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30</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30</w:t>
            </w:r>
          </w:p>
        </w:tc>
      </w:tr>
    </w:tbl>
    <w:p>
      <w:pPr>
        <w:pStyle w:val="2"/>
        <w:ind w:firstLine="0" w:firstLineChars="0"/>
      </w:pPr>
    </w:p>
    <w:p>
      <w:pPr>
        <w:pStyle w:val="72"/>
        <w:ind w:firstLine="0" w:firstLineChars="0"/>
      </w:pPr>
      <w:bookmarkStart w:id="11" w:name="_Toc17537288"/>
      <w:r>
        <w:t>八、实施保障</w:t>
      </w:r>
      <w:bookmarkEnd w:id="11"/>
    </w:p>
    <w:p>
      <w:pPr>
        <w:pStyle w:val="47"/>
        <w:ind w:firstLine="562"/>
        <w:rPr>
          <w:rFonts w:hint="eastAsia"/>
          <w:b w:val="0"/>
          <w:szCs w:val="22"/>
        </w:rPr>
      </w:pPr>
      <w:bookmarkStart w:id="12" w:name="_Toc17537289"/>
      <w:r>
        <w:t>（一）师资队伍</w:t>
      </w:r>
      <w:bookmarkEnd w:id="12"/>
      <w:bookmarkStart w:id="13" w:name="_Toc17537290"/>
    </w:p>
    <w:p>
      <w:pPr>
        <w:pStyle w:val="47"/>
        <w:ind w:firstLine="560"/>
        <w:rPr>
          <w:rFonts w:hint="eastAsia"/>
          <w:b w:val="0"/>
          <w:szCs w:val="22"/>
          <w:lang w:val="en-US" w:eastAsia="zh-CN"/>
        </w:rPr>
      </w:pPr>
      <w:r>
        <w:rPr>
          <w:rFonts w:hint="eastAsia"/>
          <w:b w:val="0"/>
          <w:szCs w:val="22"/>
          <w:lang w:val="en-US" w:eastAsia="zh-CN"/>
        </w:rPr>
        <w:t>1.本专业构建了一支结构合理，双师比例高的高素质师资队伍。教学团队教学水平高、科研能力强、信息化水平高，职称结构和年龄结构呈层次化、梯队化的特点。师资队伍中专任教师 12名，拥有高级职称教师 2名，中级讲师8名，拥有中级会计师资格证书3名，考取财务共享（1+X）中级证书6名，其余为初级。并且在教师团队中，一个入选绍兴市名师，一个入选绍兴市教坛新秀。</w:t>
      </w:r>
    </w:p>
    <w:p>
      <w:pPr>
        <w:pStyle w:val="47"/>
        <w:ind w:firstLine="560"/>
        <w:rPr>
          <w:rFonts w:hint="eastAsia"/>
          <w:b w:val="0"/>
          <w:szCs w:val="22"/>
        </w:rPr>
      </w:pPr>
      <w:r>
        <w:rPr>
          <w:rFonts w:hint="eastAsia"/>
          <w:b w:val="0"/>
          <w:szCs w:val="22"/>
          <w:lang w:val="en-US" w:eastAsia="zh-CN"/>
        </w:rPr>
        <w:t>2.</w:t>
      </w:r>
      <w:r>
        <w:rPr>
          <w:rFonts w:hint="eastAsia"/>
          <w:b w:val="0"/>
          <w:szCs w:val="22"/>
        </w:rPr>
        <w:t>专业教师具有良好的师德修养、专业能力，能够开展理实一体化教学，具有信息化教学能力。专任专业教师应参加如：教学改革课题研究、教学竞赛、技能竞赛等活动。平均每年到企业实践不少于1个月。兼职教师须经过教学能力专项培训，并取得合格证书，每学期承担不少于30学时的教学任务。</w:t>
      </w:r>
    </w:p>
    <w:p>
      <w:pPr>
        <w:pStyle w:val="47"/>
        <w:ind w:firstLine="560"/>
        <w:rPr>
          <w:rFonts w:hint="eastAsia"/>
          <w:b w:val="0"/>
          <w:szCs w:val="22"/>
        </w:rPr>
      </w:pPr>
      <w:r>
        <w:rPr>
          <w:rFonts w:hint="eastAsia"/>
          <w:b w:val="0"/>
          <w:szCs w:val="22"/>
          <w:lang w:val="en-US" w:eastAsia="zh-CN"/>
        </w:rPr>
        <w:t>3.</w:t>
      </w:r>
      <w:r>
        <w:rPr>
          <w:rFonts w:hint="eastAsia"/>
          <w:b w:val="0"/>
          <w:szCs w:val="22"/>
        </w:rPr>
        <w:t>教师在学生“四岗递进”实践教学开展前需制定相应的学习计划，在跟岗过程中需有实质性学习任务，完成至少2个工种或技术岗位的学习，形成并提交一份专业学生和财务成果报告。</w:t>
      </w:r>
    </w:p>
    <w:p>
      <w:pPr>
        <w:pStyle w:val="47"/>
        <w:ind w:firstLine="562"/>
      </w:pPr>
      <w:r>
        <w:t>（二）教学设施</w:t>
      </w:r>
      <w:bookmarkEnd w:id="13"/>
    </w:p>
    <w:p>
      <w:pPr>
        <w:overflowPunct w:val="0"/>
        <w:ind w:firstLine="560"/>
        <w:rPr>
          <w:rFonts w:ascii="宋体" w:hAnsi="宋体" w:cs="宋体"/>
          <w:szCs w:val="28"/>
        </w:rPr>
      </w:pPr>
      <w:r>
        <w:rPr>
          <w:rFonts w:hint="eastAsia" w:ascii="宋体" w:hAnsi="宋体" w:cs="宋体"/>
          <w:szCs w:val="28"/>
        </w:rPr>
        <w:t>根据本专业人才培养目标的要求及课程设置的需要，原则上按每班45名学生为基准，校内实训（实验）教学功能室配置如下：</w:t>
      </w:r>
    </w:p>
    <w:p>
      <w:pPr>
        <w:pStyle w:val="73"/>
        <w:spacing w:after="156" w:afterLines="50" w:line="240" w:lineRule="auto"/>
        <w:ind w:firstLine="0" w:firstLineChars="0"/>
        <w:rPr>
          <w:sz w:val="24"/>
          <w:szCs w:val="24"/>
        </w:rPr>
      </w:pPr>
      <w:r>
        <w:rPr>
          <w:rFonts w:hint="eastAsia"/>
          <w:sz w:val="24"/>
          <w:szCs w:val="24"/>
        </w:rPr>
        <w:t xml:space="preserve">表4  </w:t>
      </w:r>
      <w:r>
        <w:rPr>
          <w:rFonts w:hint="eastAsia"/>
          <w:szCs w:val="28"/>
        </w:rPr>
        <w:t>校内实训（实验）教学功能室</w:t>
      </w:r>
    </w:p>
    <w:tbl>
      <w:tblPr>
        <w:tblStyle w:val="23"/>
        <w:tblW w:w="7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984"/>
        <w:gridCol w:w="2444"/>
        <w:gridCol w:w="1525"/>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Align w:val="center"/>
          </w:tcPr>
          <w:p>
            <w:pPr>
              <w:spacing w:line="240" w:lineRule="auto"/>
              <w:ind w:firstLine="0" w:firstLineChars="0"/>
              <w:jc w:val="center"/>
              <w:rPr>
                <w:rFonts w:ascii="宋体" w:hAnsi="宋体"/>
                <w:b/>
                <w:sz w:val="21"/>
                <w:szCs w:val="21"/>
              </w:rPr>
            </w:pPr>
            <w:bookmarkStart w:id="14" w:name="_Toc17537291"/>
            <w:r>
              <w:rPr>
                <w:rFonts w:hint="eastAsia" w:ascii="宋体" w:hAnsi="宋体"/>
                <w:b/>
                <w:sz w:val="21"/>
                <w:szCs w:val="21"/>
              </w:rPr>
              <w:t>序号</w:t>
            </w:r>
          </w:p>
        </w:tc>
        <w:tc>
          <w:tcPr>
            <w:tcW w:w="1984"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实训项目名称</w:t>
            </w:r>
          </w:p>
        </w:tc>
        <w:tc>
          <w:tcPr>
            <w:tcW w:w="2444"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实训室名称</w:t>
            </w:r>
          </w:p>
        </w:tc>
        <w:tc>
          <w:tcPr>
            <w:tcW w:w="1525"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实训地点</w:t>
            </w:r>
          </w:p>
        </w:tc>
        <w:tc>
          <w:tcPr>
            <w:tcW w:w="1247"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1</w:t>
            </w:r>
          </w:p>
        </w:tc>
        <w:tc>
          <w:tcPr>
            <w:tcW w:w="1984" w:type="dxa"/>
            <w:vAlign w:val="center"/>
          </w:tcPr>
          <w:p>
            <w:pPr>
              <w:ind w:left="0" w:leftChars="0" w:firstLine="0" w:firstLineChars="0"/>
              <w:rPr>
                <w:rFonts w:hint="default" w:eastAsia="宋体"/>
                <w:sz w:val="24"/>
                <w:szCs w:val="24"/>
                <w:lang w:val="en-US" w:eastAsia="zh-CN"/>
              </w:rPr>
            </w:pPr>
            <w:r>
              <w:rPr>
                <w:rFonts w:hint="eastAsia"/>
                <w:sz w:val="24"/>
                <w:szCs w:val="24"/>
                <w:lang w:val="en-US" w:eastAsia="zh-CN"/>
              </w:rPr>
              <w:t>智能财税信息化</w:t>
            </w:r>
          </w:p>
        </w:tc>
        <w:tc>
          <w:tcPr>
            <w:tcW w:w="2444" w:type="dxa"/>
            <w:vAlign w:val="center"/>
          </w:tcPr>
          <w:p>
            <w:pPr>
              <w:ind w:firstLine="0" w:firstLineChars="0"/>
              <w:jc w:val="center"/>
              <w:rPr>
                <w:sz w:val="24"/>
                <w:szCs w:val="24"/>
              </w:rPr>
            </w:pPr>
            <w:r>
              <w:rPr>
                <w:rFonts w:hint="eastAsia"/>
                <w:sz w:val="24"/>
                <w:szCs w:val="24"/>
                <w:lang w:val="en-US" w:eastAsia="zh-CN"/>
              </w:rPr>
              <w:t>财税信息</w:t>
            </w:r>
            <w:r>
              <w:rPr>
                <w:rFonts w:hint="eastAsia"/>
                <w:sz w:val="24"/>
                <w:szCs w:val="24"/>
              </w:rPr>
              <w:t>化机房1</w:t>
            </w:r>
          </w:p>
        </w:tc>
        <w:tc>
          <w:tcPr>
            <w:tcW w:w="1525" w:type="dxa"/>
            <w:vAlign w:val="center"/>
          </w:tcPr>
          <w:p>
            <w:pPr>
              <w:ind w:firstLine="0" w:firstLineChars="0"/>
              <w:jc w:val="center"/>
              <w:rPr>
                <w:sz w:val="24"/>
                <w:szCs w:val="24"/>
              </w:rPr>
            </w:pPr>
            <w:r>
              <w:rPr>
                <w:rFonts w:hint="eastAsia"/>
                <w:sz w:val="24"/>
                <w:szCs w:val="24"/>
              </w:rPr>
              <w:t>崇技楼A514</w:t>
            </w:r>
          </w:p>
        </w:tc>
        <w:tc>
          <w:tcPr>
            <w:tcW w:w="1247" w:type="dxa"/>
            <w:vAlign w:val="center"/>
          </w:tcPr>
          <w:p>
            <w:pPr>
              <w:ind w:firstLine="480"/>
              <w:jc w:val="center"/>
              <w:rPr>
                <w:sz w:val="24"/>
                <w:szCs w:val="24"/>
              </w:rPr>
            </w:pPr>
            <w:r>
              <w:rPr>
                <w:rFonts w:hint="eastAsia"/>
                <w:sz w:val="24"/>
                <w:szCs w:val="24"/>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2</w:t>
            </w:r>
          </w:p>
        </w:tc>
        <w:tc>
          <w:tcPr>
            <w:tcW w:w="1984" w:type="dxa"/>
            <w:vAlign w:val="center"/>
          </w:tcPr>
          <w:p>
            <w:pPr>
              <w:ind w:left="0" w:leftChars="0" w:firstLine="0" w:firstLineChars="0"/>
              <w:rPr>
                <w:sz w:val="24"/>
                <w:szCs w:val="24"/>
              </w:rPr>
            </w:pPr>
            <w:r>
              <w:rPr>
                <w:rFonts w:hint="eastAsia"/>
                <w:sz w:val="24"/>
                <w:szCs w:val="24"/>
                <w:lang w:val="en-US" w:eastAsia="zh-CN"/>
              </w:rPr>
              <w:t>智能财税信息化</w:t>
            </w:r>
          </w:p>
        </w:tc>
        <w:tc>
          <w:tcPr>
            <w:tcW w:w="2444" w:type="dxa"/>
            <w:vAlign w:val="center"/>
          </w:tcPr>
          <w:p>
            <w:pPr>
              <w:ind w:firstLine="0" w:firstLineChars="0"/>
              <w:jc w:val="center"/>
              <w:rPr>
                <w:sz w:val="24"/>
                <w:szCs w:val="24"/>
              </w:rPr>
            </w:pPr>
            <w:r>
              <w:rPr>
                <w:rFonts w:hint="eastAsia"/>
                <w:sz w:val="24"/>
                <w:szCs w:val="24"/>
                <w:lang w:val="en-US" w:eastAsia="zh-CN"/>
              </w:rPr>
              <w:t>财税信息</w:t>
            </w:r>
            <w:r>
              <w:rPr>
                <w:rFonts w:hint="eastAsia"/>
                <w:sz w:val="24"/>
                <w:szCs w:val="24"/>
              </w:rPr>
              <w:t>化机房2</w:t>
            </w:r>
          </w:p>
        </w:tc>
        <w:tc>
          <w:tcPr>
            <w:tcW w:w="1525" w:type="dxa"/>
            <w:vAlign w:val="center"/>
          </w:tcPr>
          <w:p>
            <w:pPr>
              <w:ind w:firstLine="0" w:firstLineChars="0"/>
              <w:jc w:val="center"/>
              <w:rPr>
                <w:sz w:val="24"/>
                <w:szCs w:val="24"/>
              </w:rPr>
            </w:pPr>
            <w:r>
              <w:rPr>
                <w:rFonts w:hint="eastAsia"/>
                <w:sz w:val="24"/>
                <w:szCs w:val="24"/>
              </w:rPr>
              <w:t>崇技楼A516</w:t>
            </w:r>
          </w:p>
        </w:tc>
        <w:tc>
          <w:tcPr>
            <w:tcW w:w="1247" w:type="dxa"/>
            <w:vAlign w:val="center"/>
          </w:tcPr>
          <w:p>
            <w:pPr>
              <w:ind w:firstLine="480"/>
              <w:jc w:val="center"/>
              <w:rPr>
                <w:sz w:val="24"/>
                <w:szCs w:val="24"/>
              </w:rPr>
            </w:pPr>
            <w:r>
              <w:rPr>
                <w:rFonts w:hint="eastAsia"/>
                <w:sz w:val="24"/>
                <w:szCs w:val="24"/>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3</w:t>
            </w:r>
          </w:p>
        </w:tc>
        <w:tc>
          <w:tcPr>
            <w:tcW w:w="1984" w:type="dxa"/>
            <w:vAlign w:val="center"/>
          </w:tcPr>
          <w:p>
            <w:pPr>
              <w:ind w:left="0" w:leftChars="0" w:firstLine="480" w:firstLineChars="200"/>
              <w:jc w:val="both"/>
              <w:rPr>
                <w:sz w:val="24"/>
                <w:szCs w:val="24"/>
              </w:rPr>
            </w:pPr>
            <w:r>
              <w:rPr>
                <w:rFonts w:hint="eastAsia"/>
                <w:sz w:val="24"/>
                <w:szCs w:val="24"/>
              </w:rPr>
              <w:t>创业创新</w:t>
            </w:r>
          </w:p>
        </w:tc>
        <w:tc>
          <w:tcPr>
            <w:tcW w:w="2444" w:type="dxa"/>
            <w:vAlign w:val="center"/>
          </w:tcPr>
          <w:p>
            <w:pPr>
              <w:ind w:firstLine="480"/>
              <w:jc w:val="center"/>
              <w:rPr>
                <w:sz w:val="24"/>
                <w:szCs w:val="24"/>
              </w:rPr>
            </w:pPr>
            <w:r>
              <w:rPr>
                <w:rFonts w:hint="eastAsia"/>
                <w:sz w:val="24"/>
                <w:szCs w:val="24"/>
              </w:rPr>
              <w:t>创业实训室</w:t>
            </w:r>
          </w:p>
        </w:tc>
        <w:tc>
          <w:tcPr>
            <w:tcW w:w="1525" w:type="dxa"/>
            <w:vAlign w:val="center"/>
          </w:tcPr>
          <w:p>
            <w:pPr>
              <w:ind w:firstLine="0" w:firstLineChars="0"/>
              <w:jc w:val="center"/>
              <w:rPr>
                <w:sz w:val="24"/>
                <w:szCs w:val="24"/>
              </w:rPr>
            </w:pPr>
            <w:r>
              <w:rPr>
                <w:rFonts w:hint="eastAsia"/>
                <w:sz w:val="24"/>
                <w:szCs w:val="24"/>
              </w:rPr>
              <w:t>崇技楼A410</w:t>
            </w:r>
          </w:p>
        </w:tc>
        <w:tc>
          <w:tcPr>
            <w:tcW w:w="1247" w:type="dxa"/>
            <w:vAlign w:val="center"/>
          </w:tcPr>
          <w:p>
            <w:pPr>
              <w:ind w:firstLine="480"/>
              <w:jc w:val="center"/>
              <w:rPr>
                <w:sz w:val="24"/>
                <w:szCs w:val="24"/>
              </w:rPr>
            </w:pPr>
            <w:r>
              <w:rPr>
                <w:rFonts w:hint="eastAsia"/>
                <w:sz w:val="24"/>
                <w:szCs w:val="24"/>
              </w:rPr>
              <w:t>21个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4</w:t>
            </w:r>
          </w:p>
        </w:tc>
        <w:tc>
          <w:tcPr>
            <w:tcW w:w="1984" w:type="dxa"/>
            <w:vAlign w:val="center"/>
          </w:tcPr>
          <w:p>
            <w:pPr>
              <w:ind w:left="0" w:leftChars="0" w:firstLine="480" w:firstLineChars="200"/>
              <w:jc w:val="both"/>
              <w:rPr>
                <w:sz w:val="24"/>
                <w:szCs w:val="24"/>
              </w:rPr>
            </w:pPr>
            <w:r>
              <w:rPr>
                <w:rFonts w:hint="eastAsia"/>
                <w:sz w:val="24"/>
                <w:szCs w:val="24"/>
              </w:rPr>
              <w:t>沙盘</w:t>
            </w:r>
          </w:p>
        </w:tc>
        <w:tc>
          <w:tcPr>
            <w:tcW w:w="2444" w:type="dxa"/>
            <w:vAlign w:val="center"/>
          </w:tcPr>
          <w:p>
            <w:pPr>
              <w:ind w:firstLine="0" w:firstLineChars="0"/>
              <w:jc w:val="center"/>
              <w:rPr>
                <w:sz w:val="24"/>
                <w:szCs w:val="24"/>
              </w:rPr>
            </w:pPr>
            <w:r>
              <w:rPr>
                <w:rFonts w:hint="eastAsia"/>
                <w:sz w:val="24"/>
                <w:szCs w:val="24"/>
              </w:rPr>
              <w:t>企业经营模</w:t>
            </w:r>
            <w:r>
              <w:rPr>
                <w:rFonts w:hint="eastAsia"/>
                <w:sz w:val="24"/>
                <w:szCs w:val="24"/>
                <w:lang w:val="en-US" w:eastAsia="zh-CN"/>
              </w:rPr>
              <w:t>拟</w:t>
            </w:r>
            <w:r>
              <w:rPr>
                <w:rFonts w:hint="eastAsia"/>
                <w:sz w:val="24"/>
                <w:szCs w:val="24"/>
              </w:rPr>
              <w:t>实训室</w:t>
            </w:r>
          </w:p>
        </w:tc>
        <w:tc>
          <w:tcPr>
            <w:tcW w:w="1525" w:type="dxa"/>
            <w:vAlign w:val="center"/>
          </w:tcPr>
          <w:p>
            <w:pPr>
              <w:ind w:firstLine="0" w:firstLineChars="0"/>
              <w:jc w:val="center"/>
              <w:rPr>
                <w:sz w:val="24"/>
                <w:szCs w:val="24"/>
              </w:rPr>
            </w:pPr>
            <w:r>
              <w:rPr>
                <w:rFonts w:hint="eastAsia"/>
                <w:sz w:val="24"/>
                <w:szCs w:val="24"/>
              </w:rPr>
              <w:t>崇技楼A408</w:t>
            </w:r>
          </w:p>
        </w:tc>
        <w:tc>
          <w:tcPr>
            <w:tcW w:w="1247" w:type="dxa"/>
            <w:vAlign w:val="center"/>
          </w:tcPr>
          <w:p>
            <w:pPr>
              <w:ind w:firstLine="480"/>
              <w:jc w:val="center"/>
              <w:rPr>
                <w:sz w:val="24"/>
                <w:szCs w:val="24"/>
              </w:rPr>
            </w:pPr>
            <w:r>
              <w:rPr>
                <w:rFonts w:hint="eastAsia"/>
                <w:sz w:val="24"/>
                <w:szCs w:val="24"/>
              </w:rPr>
              <w:t>21个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5</w:t>
            </w:r>
          </w:p>
        </w:tc>
        <w:tc>
          <w:tcPr>
            <w:tcW w:w="1984" w:type="dxa"/>
            <w:vAlign w:val="center"/>
          </w:tcPr>
          <w:p>
            <w:pPr>
              <w:ind w:left="0" w:leftChars="0" w:firstLine="240" w:firstLineChars="100"/>
              <w:jc w:val="both"/>
              <w:rPr>
                <w:sz w:val="24"/>
                <w:szCs w:val="24"/>
              </w:rPr>
            </w:pPr>
            <w:r>
              <w:rPr>
                <w:rFonts w:hint="eastAsia"/>
                <w:sz w:val="24"/>
                <w:szCs w:val="24"/>
                <w:lang w:val="en-US" w:eastAsia="zh-CN"/>
              </w:rPr>
              <w:t>会计</w:t>
            </w:r>
            <w:r>
              <w:rPr>
                <w:rFonts w:hint="eastAsia"/>
                <w:sz w:val="24"/>
                <w:szCs w:val="24"/>
              </w:rPr>
              <w:t>岗位模拟</w:t>
            </w:r>
          </w:p>
        </w:tc>
        <w:tc>
          <w:tcPr>
            <w:tcW w:w="2444" w:type="dxa"/>
            <w:vAlign w:val="center"/>
          </w:tcPr>
          <w:p>
            <w:pPr>
              <w:ind w:firstLine="0" w:firstLineChars="0"/>
              <w:jc w:val="center"/>
              <w:rPr>
                <w:sz w:val="24"/>
                <w:szCs w:val="24"/>
              </w:rPr>
            </w:pPr>
            <w:r>
              <w:rPr>
                <w:rFonts w:hint="eastAsia"/>
                <w:sz w:val="24"/>
                <w:szCs w:val="24"/>
              </w:rPr>
              <w:t>会计综合实训中心</w:t>
            </w:r>
          </w:p>
        </w:tc>
        <w:tc>
          <w:tcPr>
            <w:tcW w:w="1525" w:type="dxa"/>
            <w:vAlign w:val="center"/>
          </w:tcPr>
          <w:p>
            <w:pPr>
              <w:ind w:firstLine="0" w:firstLineChars="0"/>
              <w:jc w:val="center"/>
              <w:rPr>
                <w:sz w:val="24"/>
                <w:szCs w:val="24"/>
              </w:rPr>
            </w:pPr>
            <w:r>
              <w:rPr>
                <w:rFonts w:hint="eastAsia"/>
                <w:sz w:val="24"/>
                <w:szCs w:val="24"/>
              </w:rPr>
              <w:t>崇技楼A406</w:t>
            </w:r>
          </w:p>
        </w:tc>
        <w:tc>
          <w:tcPr>
            <w:tcW w:w="1247" w:type="dxa"/>
            <w:vAlign w:val="center"/>
          </w:tcPr>
          <w:p>
            <w:pPr>
              <w:ind w:firstLine="480"/>
              <w:jc w:val="center"/>
              <w:rPr>
                <w:sz w:val="24"/>
                <w:szCs w:val="24"/>
              </w:rPr>
            </w:pPr>
            <w:r>
              <w:rPr>
                <w:rFonts w:hint="eastAsia"/>
                <w:sz w:val="24"/>
                <w:szCs w:val="24"/>
              </w:rPr>
              <w:t>48个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6</w:t>
            </w:r>
          </w:p>
        </w:tc>
        <w:tc>
          <w:tcPr>
            <w:tcW w:w="1984" w:type="dxa"/>
            <w:vAlign w:val="center"/>
          </w:tcPr>
          <w:p>
            <w:pPr>
              <w:ind w:left="0" w:leftChars="0" w:firstLine="0" w:firstLineChars="0"/>
              <w:jc w:val="both"/>
              <w:rPr>
                <w:rFonts w:hint="default" w:eastAsia="宋体"/>
                <w:sz w:val="24"/>
                <w:szCs w:val="24"/>
                <w:lang w:val="en-US" w:eastAsia="zh-CN"/>
              </w:rPr>
            </w:pPr>
            <w:r>
              <w:rPr>
                <w:rFonts w:hint="eastAsia"/>
                <w:sz w:val="24"/>
                <w:szCs w:val="24"/>
                <w:lang w:val="en-US" w:eastAsia="zh-CN"/>
              </w:rPr>
              <w:t>智能税务数字化</w:t>
            </w:r>
          </w:p>
        </w:tc>
        <w:tc>
          <w:tcPr>
            <w:tcW w:w="2444" w:type="dxa"/>
            <w:vAlign w:val="center"/>
          </w:tcPr>
          <w:p>
            <w:pPr>
              <w:ind w:firstLine="199" w:firstLineChars="83"/>
              <w:jc w:val="center"/>
              <w:rPr>
                <w:sz w:val="24"/>
                <w:szCs w:val="24"/>
              </w:rPr>
            </w:pPr>
            <w:r>
              <w:rPr>
                <w:rFonts w:hint="eastAsia"/>
                <w:sz w:val="24"/>
                <w:szCs w:val="24"/>
              </w:rPr>
              <w:t>税收实训中心</w:t>
            </w:r>
          </w:p>
        </w:tc>
        <w:tc>
          <w:tcPr>
            <w:tcW w:w="1525" w:type="dxa"/>
            <w:vAlign w:val="center"/>
          </w:tcPr>
          <w:p>
            <w:pPr>
              <w:ind w:firstLine="0" w:firstLineChars="0"/>
              <w:jc w:val="center"/>
              <w:rPr>
                <w:sz w:val="24"/>
                <w:szCs w:val="24"/>
              </w:rPr>
            </w:pPr>
            <w:r>
              <w:rPr>
                <w:rFonts w:hint="eastAsia"/>
                <w:sz w:val="24"/>
                <w:szCs w:val="24"/>
              </w:rPr>
              <w:t>崇技楼A404</w:t>
            </w:r>
          </w:p>
        </w:tc>
        <w:tc>
          <w:tcPr>
            <w:tcW w:w="1247" w:type="dxa"/>
            <w:vAlign w:val="center"/>
          </w:tcPr>
          <w:p>
            <w:pPr>
              <w:ind w:firstLine="480"/>
              <w:jc w:val="center"/>
              <w:rPr>
                <w:sz w:val="24"/>
                <w:szCs w:val="24"/>
              </w:rPr>
            </w:pPr>
            <w:r>
              <w:rPr>
                <w:rFonts w:hint="eastAsia"/>
                <w:sz w:val="24"/>
                <w:szCs w:val="24"/>
              </w:rPr>
              <w:t>60个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7</w:t>
            </w:r>
          </w:p>
        </w:tc>
        <w:tc>
          <w:tcPr>
            <w:tcW w:w="1984" w:type="dxa"/>
            <w:vAlign w:val="center"/>
          </w:tcPr>
          <w:p>
            <w:pPr>
              <w:ind w:firstLine="0" w:firstLineChars="0"/>
              <w:jc w:val="center"/>
              <w:rPr>
                <w:sz w:val="24"/>
                <w:szCs w:val="24"/>
              </w:rPr>
            </w:pPr>
            <w:r>
              <w:rPr>
                <w:rFonts w:hint="eastAsia"/>
                <w:sz w:val="24"/>
                <w:szCs w:val="24"/>
              </w:rPr>
              <w:t>会计基本技能</w:t>
            </w:r>
          </w:p>
        </w:tc>
        <w:tc>
          <w:tcPr>
            <w:tcW w:w="2444" w:type="dxa"/>
            <w:vAlign w:val="center"/>
          </w:tcPr>
          <w:p>
            <w:pPr>
              <w:ind w:firstLine="0" w:firstLineChars="0"/>
              <w:jc w:val="center"/>
              <w:rPr>
                <w:sz w:val="24"/>
                <w:szCs w:val="24"/>
              </w:rPr>
            </w:pPr>
            <w:r>
              <w:rPr>
                <w:rFonts w:hint="eastAsia"/>
                <w:sz w:val="24"/>
                <w:szCs w:val="24"/>
              </w:rPr>
              <w:t>会计技能实训中心</w:t>
            </w:r>
          </w:p>
        </w:tc>
        <w:tc>
          <w:tcPr>
            <w:tcW w:w="1525" w:type="dxa"/>
            <w:vAlign w:val="center"/>
          </w:tcPr>
          <w:p>
            <w:pPr>
              <w:ind w:firstLine="0" w:firstLineChars="0"/>
              <w:jc w:val="center"/>
              <w:rPr>
                <w:sz w:val="24"/>
                <w:szCs w:val="24"/>
              </w:rPr>
            </w:pPr>
            <w:r>
              <w:rPr>
                <w:rFonts w:hint="eastAsia"/>
                <w:sz w:val="24"/>
                <w:szCs w:val="24"/>
              </w:rPr>
              <w:t>崇学楼528</w:t>
            </w:r>
          </w:p>
        </w:tc>
        <w:tc>
          <w:tcPr>
            <w:tcW w:w="1247" w:type="dxa"/>
            <w:vAlign w:val="center"/>
          </w:tcPr>
          <w:p>
            <w:pPr>
              <w:ind w:firstLine="480"/>
              <w:jc w:val="center"/>
              <w:rPr>
                <w:sz w:val="24"/>
                <w:szCs w:val="24"/>
              </w:rPr>
            </w:pPr>
            <w:r>
              <w:rPr>
                <w:rFonts w:hint="eastAsia"/>
                <w:sz w:val="24"/>
                <w:szCs w:val="24"/>
              </w:rPr>
              <w:t>54个</w:t>
            </w:r>
          </w:p>
        </w:tc>
      </w:tr>
    </w:tbl>
    <w:p>
      <w:pPr>
        <w:ind w:firstLine="560"/>
      </w:pPr>
    </w:p>
    <w:p>
      <w:pPr>
        <w:pStyle w:val="47"/>
        <w:ind w:firstLine="562"/>
      </w:pPr>
      <w:r>
        <w:t>（三）教学资源</w:t>
      </w:r>
      <w:bookmarkEnd w:id="14"/>
    </w:p>
    <w:p>
      <w:pPr>
        <w:pStyle w:val="47"/>
        <w:ind w:firstLine="560"/>
        <w:rPr>
          <w:b w:val="0"/>
          <w:szCs w:val="22"/>
        </w:rPr>
      </w:pPr>
      <w:bookmarkStart w:id="15" w:name="_Toc17537292"/>
      <w:r>
        <w:rPr>
          <w:rFonts w:hint="eastAsia"/>
          <w:b w:val="0"/>
          <w:szCs w:val="22"/>
        </w:rPr>
        <w:t>专业教学资源包含教材、题册、文献、数字资源等。各课程教材以课程标准所列参考书为准，浙江省单独考试科目应满足考试大纲所列教材，符合学生高考需求同时满足就业岗位实际需求。题册选用符合教材配套原则，在无教材配套的课程中由专任教师组织编写校本题册。数字资源包含该课程数字题库、教学视频、电子教案、电子学案、电子演示文稿等，数字资源选用应符合教材配套原则，在无教材配套资源的课程教学中由专任教师组织建立课程数字资源并经校学术委员会审核批准后使用。</w:t>
      </w:r>
    </w:p>
    <w:p>
      <w:pPr>
        <w:pStyle w:val="47"/>
        <w:ind w:firstLine="562"/>
      </w:pPr>
      <w:r>
        <w:t>（四）教学方法</w:t>
      </w:r>
      <w:bookmarkEnd w:id="15"/>
    </w:p>
    <w:p>
      <w:pPr>
        <w:pStyle w:val="47"/>
        <w:ind w:firstLine="560"/>
        <w:rPr>
          <w:rFonts w:hint="eastAsia"/>
          <w:b w:val="0"/>
          <w:szCs w:val="22"/>
        </w:rPr>
      </w:pPr>
      <w:bookmarkStart w:id="16" w:name="_Toc17537293"/>
      <w:r>
        <w:rPr>
          <w:rFonts w:hint="eastAsia"/>
          <w:b w:val="0"/>
          <w:szCs w:val="22"/>
          <w:lang w:val="en-US" w:eastAsia="zh-CN"/>
        </w:rPr>
        <w:t xml:space="preserve">推行项目化教学、案例教学、情境教学、研讨式教学等多种教学方法在教学过程中的应用，重点在于各种教学方法的纵深运用与发展，结合各门课程的自身特色及教师的教学风格，使每门课程的项目化教学、案例教学、情境教学等教学方法在课程的运用上更加成熟，更加有效。 </w:t>
      </w:r>
    </w:p>
    <w:p>
      <w:pPr>
        <w:pStyle w:val="47"/>
        <w:ind w:firstLine="560"/>
        <w:rPr>
          <w:rFonts w:hint="eastAsia"/>
          <w:b w:val="0"/>
          <w:szCs w:val="22"/>
        </w:rPr>
      </w:pPr>
      <w:r>
        <w:rPr>
          <w:rFonts w:hint="eastAsia"/>
          <w:b w:val="0"/>
          <w:szCs w:val="22"/>
          <w:lang w:val="en-US" w:eastAsia="zh-CN"/>
        </w:rPr>
        <w:t xml:space="preserve">鼓励教师不断加强教学方法与教学手段的创新，积极充运用互联网资源丰富教学内容和完善教学手段，分利用现有教学设施条件，积极开展多种教学手段的创新，使教学方法和教学手段都能充分体现每门课程的教学特色。探索并开展各门课程的微课教学模式以及翻转课堂教学模式。此外，加强专业教学资源库的建设，利用网络多媒体信息技术实现主要课程的资源上网。 </w:t>
      </w:r>
    </w:p>
    <w:p>
      <w:pPr>
        <w:pStyle w:val="47"/>
        <w:ind w:firstLine="560"/>
        <w:rPr>
          <w:b w:val="0"/>
          <w:szCs w:val="22"/>
        </w:rPr>
      </w:pPr>
      <w:r>
        <w:rPr>
          <w:rFonts w:hint="eastAsia"/>
          <w:b w:val="0"/>
          <w:szCs w:val="22"/>
        </w:rPr>
        <w:t>以就业为导向，以提升学生职业能力、职业素质为目标，以强化应用为重点、推进项目课程开发为主要途径，对知识的条块分割、合理整合，形成相对独立的教学项目，通过真实环境下的“做中学、做中教、实践中教理论”的方式，加强学生的实际操作技能，实现专业课程内容与职业岗位（群）、工作任务和工作过程的对接，实现专业教育与职业资格证书相融合。</w:t>
      </w:r>
    </w:p>
    <w:p>
      <w:pPr>
        <w:pStyle w:val="47"/>
        <w:ind w:firstLine="560"/>
        <w:rPr>
          <w:b w:val="0"/>
          <w:szCs w:val="22"/>
        </w:rPr>
      </w:pPr>
      <w:r>
        <w:rPr>
          <w:rFonts w:hint="eastAsia"/>
          <w:b w:val="0"/>
          <w:szCs w:val="22"/>
        </w:rPr>
        <w:t>实践教学课程学习以职业岗位实训项目课程为基础，以学生实践能力培养为重点，以“教学做合一”为途径，线上线下相结合，促进课程的“弹性化、综合性、创新性”，打造无边界课程和课堂。</w:t>
      </w:r>
    </w:p>
    <w:p>
      <w:pPr>
        <w:pStyle w:val="47"/>
        <w:ind w:firstLine="562"/>
      </w:pPr>
      <w:r>
        <w:t>（五）学习评价</w:t>
      </w:r>
      <w:bookmarkEnd w:id="16"/>
    </w:p>
    <w:p>
      <w:pPr>
        <w:pStyle w:val="47"/>
        <w:ind w:firstLine="560"/>
        <w:rPr>
          <w:b w:val="0"/>
          <w:szCs w:val="22"/>
        </w:rPr>
      </w:pPr>
      <w:bookmarkStart w:id="17" w:name="_Toc17537294"/>
      <w:r>
        <w:rPr>
          <w:rFonts w:hint="eastAsia"/>
          <w:b w:val="0"/>
          <w:szCs w:val="22"/>
          <w:lang w:val="en-US" w:eastAsia="zh-CN"/>
        </w:rPr>
        <w:t>本专业坚持以能力为主线的评价原则，建立了一套多元化、科学化的学生学业评价体系。</w:t>
      </w:r>
      <w:r>
        <w:rPr>
          <w:rFonts w:hint="eastAsia"/>
          <w:b w:val="0"/>
          <w:szCs w:val="22"/>
        </w:rPr>
        <w:t>专业学习的评价标准制定包括知识与技能、过程与方法、情感态度与价值观三个方面，分别占40%、30%、30%的权重比。知识与技能是评价的核心部分，主要由教师、企业师傅、行业专家完成，并配以量化的评价指标。其余两个方面主要反映的是学生的学习方法、创新、沟通协调、安全文明操作等职业能力，以及课堂的出勤、纪律、参与度等情况，因为其具有信息产生的连续性及复杂性，所以主要由学习小组完成，保证其操作的可实施性。</w:t>
      </w:r>
    </w:p>
    <w:p>
      <w:pPr>
        <w:pStyle w:val="47"/>
        <w:ind w:firstLine="562"/>
      </w:pPr>
      <w:r>
        <w:t>（六）质量管理</w:t>
      </w:r>
      <w:bookmarkEnd w:id="17"/>
    </w:p>
    <w:p>
      <w:pPr>
        <w:ind w:firstLine="560"/>
      </w:pPr>
      <w:r>
        <w:rPr>
          <w:rFonts w:hint="eastAsia"/>
        </w:rPr>
        <w:t>1.通过课程标准制定实现源头控制</w:t>
      </w:r>
    </w:p>
    <w:p>
      <w:pPr>
        <w:ind w:firstLine="560"/>
      </w:pPr>
      <w:r>
        <w:rPr>
          <w:rFonts w:hint="eastAsia"/>
        </w:rPr>
        <w:t>课程标准的制定可以有利于提高教学质量，通过课程标准的制定，更可以锁定课程目标，规范教学内容，也是课程设计、教材编写、课程教学的依据，从源头上对教育教学质量进行控制。</w:t>
      </w:r>
    </w:p>
    <w:p>
      <w:pPr>
        <w:ind w:firstLine="560"/>
      </w:pPr>
      <w:r>
        <w:rPr>
          <w:rFonts w:hint="eastAsia"/>
        </w:rPr>
        <w:t>2.通过五方监控体系实现过程控制</w:t>
      </w:r>
    </w:p>
    <w:p>
      <w:pPr>
        <w:ind w:firstLine="560"/>
      </w:pPr>
      <w:r>
        <w:rPr>
          <w:rFonts w:hint="eastAsia"/>
        </w:rPr>
        <w:t>通过专业系、教务处、学校领导、合作企业、学生家长的五方监控，分别从不同层面、不同环节、不同角度进行质量监控，促进教育教学质量提高。</w:t>
      </w:r>
    </w:p>
    <w:p>
      <w:pPr>
        <w:ind w:firstLine="560"/>
      </w:pPr>
      <w:r>
        <w:rPr>
          <w:rFonts w:hint="eastAsia"/>
        </w:rPr>
        <w:t>3.通过</w:t>
      </w:r>
      <w:r>
        <w:rPr>
          <w:rFonts w:hint="eastAsia"/>
          <w:lang w:val="en-US" w:eastAsia="zh-CN"/>
        </w:rPr>
        <w:t>三</w:t>
      </w:r>
      <w:r>
        <w:rPr>
          <w:rFonts w:hint="eastAsia"/>
        </w:rPr>
        <w:t>位一体评价实现反馈控制</w:t>
      </w:r>
    </w:p>
    <w:p>
      <w:pPr>
        <w:ind w:firstLine="560"/>
      </w:pPr>
      <w:r>
        <w:rPr>
          <w:rFonts w:hint="eastAsia"/>
        </w:rPr>
        <w:t>建立学生自评、参加竞赛成绩评价、学校教学管理部门评价</w:t>
      </w:r>
      <w:r>
        <w:rPr>
          <w:rFonts w:hint="eastAsia"/>
          <w:lang w:val="en-US" w:eastAsia="zh-CN"/>
        </w:rPr>
        <w:t>三</w:t>
      </w:r>
      <w:r>
        <w:rPr>
          <w:rFonts w:hint="eastAsia"/>
        </w:rPr>
        <w:t>位一体评价制度，对教育教学质量进行定性定量评价，并将评价意见及时反馈，将评价结果与教师教学质量对等挂钩，以便改进教育教学，提高人才培养质量。</w:t>
      </w:r>
    </w:p>
    <w:p>
      <w:pPr>
        <w:ind w:firstLine="560"/>
        <w:rPr>
          <w:rFonts w:hint="default" w:eastAsia="宋体"/>
          <w:lang w:val="en-US" w:eastAsia="zh-CN"/>
        </w:rPr>
      </w:pPr>
      <w:r>
        <w:rPr>
          <w:rFonts w:hint="eastAsia"/>
        </w:rPr>
        <w:t>4.</w:t>
      </w:r>
      <w:r>
        <w:rPr>
          <w:rFonts w:hint="eastAsia"/>
        </w:rPr>
        <w:tab/>
      </w:r>
      <w:r>
        <w:rPr>
          <w:rFonts w:hint="eastAsia"/>
        </w:rPr>
        <w:t>通过六项指标考核实现目标控制</w:t>
      </w:r>
      <w:r>
        <w:rPr>
          <w:rFonts w:hint="eastAsia"/>
          <w:lang w:eastAsia="zh-CN"/>
        </w:rPr>
        <w:t>（</w:t>
      </w:r>
      <w:r>
        <w:rPr>
          <w:rFonts w:hint="eastAsia"/>
          <w:lang w:val="en-US" w:eastAsia="zh-CN"/>
        </w:rPr>
        <w:t>结合高校数据）</w:t>
      </w:r>
    </w:p>
    <w:tbl>
      <w:tblPr>
        <w:tblStyle w:val="99"/>
        <w:tblpPr w:leftFromText="180" w:rightFromText="180" w:vertAnchor="text" w:horzAnchor="page" w:tblpX="1555" w:tblpY="2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4252"/>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bookmarkStart w:id="18" w:name="_Toc17537295"/>
            <w:r>
              <w:rPr>
                <w:rFonts w:hint="eastAsia" w:ascii="宋体" w:hAnsi="宋体" w:cs="宋体"/>
                <w:b/>
                <w:bCs/>
                <w:szCs w:val="28"/>
              </w:rPr>
              <w:t>考核项目</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b/>
                <w:bCs/>
                <w:szCs w:val="28"/>
              </w:rPr>
              <w:t>意   义</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b/>
                <w:bCs/>
                <w:szCs w:val="28"/>
              </w:rPr>
              <w:t>目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双证书率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为学生就生准入打下基础</w:t>
            </w:r>
          </w:p>
        </w:tc>
        <w:tc>
          <w:tcPr>
            <w:tcW w:w="2119" w:type="dxa"/>
            <w:vAlign w:val="center"/>
          </w:tcPr>
          <w:p>
            <w:pPr>
              <w:overflowPunct w:val="0"/>
              <w:snapToGrid/>
              <w:spacing w:line="240" w:lineRule="auto"/>
              <w:ind w:firstLine="0" w:firstLineChars="0"/>
              <w:jc w:val="center"/>
              <w:outlineLvl w:val="0"/>
              <w:rPr>
                <w:rFonts w:hint="default" w:ascii="宋体" w:hAnsi="宋体" w:cs="宋体"/>
                <w:b/>
                <w:bCs/>
                <w:szCs w:val="28"/>
                <w:highlight w:val="none"/>
                <w:lang w:val="en-US"/>
              </w:rPr>
            </w:pPr>
            <w:r>
              <w:rPr>
                <w:rFonts w:hint="eastAsia" w:ascii="宋体" w:hAnsi="宋体" w:cs="宋体"/>
                <w:szCs w:val="28"/>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毕业生就业率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检验教学质量的重要手段</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highlight w:val="none"/>
              </w:rPr>
            </w:pPr>
            <w:r>
              <w:rPr>
                <w:rFonts w:hint="eastAsia" w:ascii="宋体" w:hAnsi="宋体" w:cs="宋体"/>
                <w:szCs w:val="28"/>
                <w:highlight w:val="none"/>
                <w:lang w:val="en-US" w:eastAsia="zh-CN"/>
              </w:rPr>
              <w:t>99</w:t>
            </w:r>
            <w:r>
              <w:rPr>
                <w:rFonts w:hint="eastAsia" w:ascii="宋体" w:hAnsi="宋体" w:cs="宋体"/>
                <w:szCs w:val="28"/>
                <w:highlight w:val="none"/>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半年以上顶岗实习率</w:t>
            </w:r>
          </w:p>
        </w:tc>
        <w:tc>
          <w:tcPr>
            <w:tcW w:w="4252"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加强学生动手能力及相关能力的培养</w:t>
            </w:r>
          </w:p>
        </w:tc>
        <w:tc>
          <w:tcPr>
            <w:tcW w:w="2119" w:type="dxa"/>
            <w:vAlign w:val="center"/>
          </w:tcPr>
          <w:p>
            <w:pPr>
              <w:overflowPunct w:val="0"/>
              <w:snapToGrid/>
              <w:spacing w:line="440" w:lineRule="exact"/>
              <w:ind w:firstLine="0" w:firstLineChars="0"/>
              <w:jc w:val="center"/>
              <w:outlineLvl w:val="0"/>
              <w:rPr>
                <w:rFonts w:ascii="宋体" w:hAnsi="宋体" w:cs="宋体"/>
                <w:b/>
                <w:bCs/>
                <w:szCs w:val="28"/>
                <w:highlight w:val="none"/>
              </w:rPr>
            </w:pPr>
            <w:r>
              <w:rPr>
                <w:rFonts w:hint="eastAsia" w:ascii="宋体" w:hAnsi="宋体" w:cs="宋体"/>
                <w:szCs w:val="28"/>
                <w:highlight w:val="none"/>
                <w:lang w:val="en-US" w:eastAsia="zh-CN"/>
              </w:rPr>
              <w:t>98</w:t>
            </w:r>
            <w:r>
              <w:rPr>
                <w:rFonts w:hint="eastAsia" w:ascii="宋体" w:hAnsi="宋体" w:cs="宋体"/>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工作性实训率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实现学习与实际岗位的对接</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highlight w:val="none"/>
              </w:rPr>
            </w:pPr>
            <w:r>
              <w:rPr>
                <w:rFonts w:hint="eastAsia" w:ascii="宋体" w:hAnsi="宋体" w:cs="宋体"/>
                <w:szCs w:val="28"/>
                <w:highlight w:val="none"/>
                <w:lang w:val="en-US" w:eastAsia="zh-CN"/>
              </w:rPr>
              <w:t>98</w:t>
            </w:r>
            <w:r>
              <w:rPr>
                <w:rFonts w:hint="eastAsia" w:ascii="宋体" w:hAnsi="宋体" w:cs="宋体"/>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教、学、做合一实现率</w:t>
            </w:r>
          </w:p>
        </w:tc>
        <w:tc>
          <w:tcPr>
            <w:tcW w:w="4252"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按典型工作任务设计教学情境使学生在做中掌握技能学习知识</w:t>
            </w:r>
          </w:p>
        </w:tc>
        <w:tc>
          <w:tcPr>
            <w:tcW w:w="2119" w:type="dxa"/>
            <w:vAlign w:val="center"/>
          </w:tcPr>
          <w:p>
            <w:pPr>
              <w:overflowPunct w:val="0"/>
              <w:snapToGrid/>
              <w:spacing w:line="440" w:lineRule="exact"/>
              <w:ind w:firstLine="0" w:firstLineChars="0"/>
              <w:jc w:val="center"/>
              <w:outlineLvl w:val="0"/>
              <w:rPr>
                <w:rFonts w:ascii="宋体" w:hAnsi="宋体" w:cs="宋体"/>
                <w:b/>
                <w:bCs/>
                <w:szCs w:val="28"/>
                <w:highlight w:val="none"/>
              </w:rPr>
            </w:pPr>
            <w:r>
              <w:rPr>
                <w:rFonts w:hint="eastAsia" w:ascii="宋体" w:hAnsi="宋体" w:cs="宋体"/>
                <w:szCs w:val="28"/>
                <w:highlight w:val="none"/>
              </w:rPr>
              <w:t>专业技能课程100%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毕业生满意率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实现社会、用人单位、学生及学生家长对学校办学的认可</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highlight w:val="none"/>
              </w:rPr>
            </w:pPr>
            <w:r>
              <w:rPr>
                <w:rFonts w:hint="eastAsia" w:ascii="宋体" w:hAnsi="宋体" w:cs="宋体"/>
                <w:szCs w:val="28"/>
                <w:highlight w:val="none"/>
              </w:rPr>
              <w:t>9</w:t>
            </w:r>
            <w:r>
              <w:rPr>
                <w:rFonts w:hint="eastAsia" w:ascii="宋体" w:hAnsi="宋体" w:cs="宋体"/>
                <w:szCs w:val="28"/>
                <w:highlight w:val="none"/>
                <w:lang w:val="en-US" w:eastAsia="zh-CN"/>
              </w:rPr>
              <w:t>0</w:t>
            </w:r>
            <w:r>
              <w:rPr>
                <w:rFonts w:hint="eastAsia" w:ascii="宋体" w:hAnsi="宋体" w:cs="宋体"/>
                <w:szCs w:val="28"/>
                <w:highlight w:val="none"/>
              </w:rPr>
              <w:t>%</w:t>
            </w:r>
          </w:p>
        </w:tc>
      </w:tr>
    </w:tbl>
    <w:p>
      <w:pPr>
        <w:pStyle w:val="72"/>
        <w:ind w:firstLine="0" w:firstLineChars="0"/>
      </w:pPr>
    </w:p>
    <w:p>
      <w:pPr>
        <w:pStyle w:val="72"/>
        <w:ind w:firstLine="0" w:firstLineChars="0"/>
      </w:pPr>
    </w:p>
    <w:p>
      <w:pPr>
        <w:pStyle w:val="72"/>
        <w:ind w:firstLine="0" w:firstLineChars="0"/>
      </w:pPr>
      <w:r>
        <w:t>九、毕业要求</w:t>
      </w:r>
      <w:bookmarkEnd w:id="18"/>
    </w:p>
    <w:p>
      <w:pPr>
        <w:ind w:firstLine="0" w:firstLineChars="0"/>
      </w:pPr>
      <w:r>
        <w:rPr>
          <w:rFonts w:hint="eastAsia"/>
        </w:rPr>
        <w:t>本专业学生毕业须通过规定年限的学习并达到以下要求：</w:t>
      </w:r>
    </w:p>
    <w:p>
      <w:pPr>
        <w:ind w:firstLine="0" w:firstLineChars="0"/>
      </w:pPr>
      <w:r>
        <w:rPr>
          <w:rFonts w:hint="eastAsia"/>
        </w:rPr>
        <w:t>1.思想品德评价合格；</w:t>
      </w:r>
    </w:p>
    <w:p>
      <w:pPr>
        <w:ind w:firstLine="0" w:firstLineChars="0"/>
      </w:pPr>
      <w:r>
        <w:rPr>
          <w:rFonts w:hint="eastAsia"/>
        </w:rPr>
        <w:t>2.修满人才培养方案规定学分；</w:t>
      </w:r>
    </w:p>
    <w:p>
      <w:pPr>
        <w:ind w:firstLine="0" w:firstLineChars="0"/>
      </w:pPr>
      <w:r>
        <w:rPr>
          <w:rFonts w:hint="eastAsia"/>
        </w:rPr>
        <w:t>3.无未撤销的纪律处分；</w:t>
      </w:r>
    </w:p>
    <w:p>
      <w:pPr>
        <w:ind w:firstLine="0" w:firstLineChars="0"/>
        <w:rPr>
          <w:rFonts w:hint="eastAsia"/>
        </w:rPr>
      </w:pPr>
      <w:r>
        <w:rPr>
          <w:rFonts w:hint="eastAsia"/>
          <w:lang w:val="en-US" w:eastAsia="zh-CN"/>
        </w:rPr>
        <w:t>4</w:t>
      </w:r>
      <w:r>
        <w:rPr>
          <w:rFonts w:hint="eastAsia"/>
        </w:rPr>
        <w:t>.素养学分达到学校规定要求。</w:t>
      </w:r>
    </w:p>
    <w:p>
      <w:pPr>
        <w:pStyle w:val="2"/>
        <w:rPr>
          <w:rFonts w:hint="eastAsia"/>
        </w:rPr>
      </w:pPr>
    </w:p>
    <w:p>
      <w:pPr>
        <w:pStyle w:val="2"/>
        <w:rPr>
          <w:rFonts w:hint="eastAsia"/>
        </w:rPr>
      </w:pPr>
    </w:p>
    <w:p>
      <w:pPr>
        <w:pStyle w:val="72"/>
        <w:ind w:firstLine="0" w:firstLineChars="0"/>
      </w:pPr>
      <w:bookmarkStart w:id="19" w:name="_Toc17537296"/>
      <w:r>
        <w:t>十、附录</w:t>
      </w:r>
      <w:bookmarkEnd w:id="19"/>
    </w:p>
    <w:p>
      <w:pPr>
        <w:overflowPunct w:val="0"/>
        <w:ind w:firstLine="561"/>
        <w:outlineLvl w:val="0"/>
        <w:rPr>
          <w:rFonts w:eastAsia="楷体_GB2312"/>
          <w:b/>
          <w:szCs w:val="32"/>
        </w:rPr>
      </w:pPr>
      <w:bookmarkStart w:id="20" w:name="_Toc17537298"/>
      <w:r>
        <w:rPr>
          <w:rFonts w:hint="eastAsia" w:eastAsia="楷体_GB2312"/>
          <w:b/>
          <w:szCs w:val="32"/>
        </w:rPr>
        <w:t>附录1</w:t>
      </w:r>
      <w:r>
        <w:rPr>
          <w:rFonts w:eastAsia="楷体_GB2312"/>
          <w:b/>
          <w:szCs w:val="32"/>
        </w:rPr>
        <w:t xml:space="preserve"> </w:t>
      </w:r>
      <w:r>
        <w:rPr>
          <w:rFonts w:hint="eastAsia" w:eastAsia="楷体_GB2312"/>
          <w:b/>
          <w:szCs w:val="32"/>
        </w:rPr>
        <w:t>教学计划变更审批表</w:t>
      </w:r>
      <w:bookmarkEnd w:id="20"/>
    </w:p>
    <w:p>
      <w:pPr>
        <w:ind w:firstLine="600"/>
        <w:jc w:val="center"/>
        <w:rPr>
          <w:rFonts w:eastAsia="黑体"/>
          <w:sz w:val="30"/>
        </w:rPr>
      </w:pPr>
      <w:r>
        <w:rPr>
          <w:rFonts w:hint="eastAsia" w:eastAsia="黑体"/>
          <w:sz w:val="30"/>
        </w:rPr>
        <w:t>绍兴市中等专业学校教学计划变更审批表</w:t>
      </w:r>
    </w:p>
    <w:p>
      <w:pPr>
        <w:ind w:firstLine="600"/>
        <w:jc w:val="center"/>
        <w:rPr>
          <w:rFonts w:ascii="黑体" w:eastAsia="黑体"/>
          <w:sz w:val="30"/>
        </w:rPr>
      </w:pPr>
      <w:r>
        <w:rPr>
          <w:rFonts w:ascii="黑体" w:eastAsia="黑体"/>
          <w:sz w:val="30"/>
          <w:u w:val="single"/>
        </w:rPr>
        <w:t xml:space="preserve">        </w:t>
      </w:r>
      <w:r>
        <w:rPr>
          <w:rFonts w:hint="eastAsia" w:ascii="黑体" w:eastAsia="黑体"/>
          <w:sz w:val="30"/>
        </w:rPr>
        <w:t>学年第</w:t>
      </w:r>
      <w:r>
        <w:rPr>
          <w:rFonts w:hint="eastAsia" w:ascii="黑体" w:eastAsia="黑体"/>
          <w:sz w:val="30"/>
          <w:u w:val="single"/>
        </w:rPr>
        <w:t xml:space="preserve">  </w:t>
      </w:r>
      <w:r>
        <w:rPr>
          <w:rFonts w:ascii="黑体" w:eastAsia="黑体"/>
          <w:sz w:val="30"/>
          <w:u w:val="single"/>
        </w:rPr>
        <w:t xml:space="preserve"> </w:t>
      </w:r>
      <w:r>
        <w:rPr>
          <w:rFonts w:hint="eastAsia" w:ascii="黑体" w:eastAsia="黑体"/>
          <w:sz w:val="30"/>
          <w:u w:val="single"/>
        </w:rPr>
        <w:t xml:space="preserve">  </w:t>
      </w:r>
      <w:r>
        <w:rPr>
          <w:rFonts w:hint="eastAsia" w:ascii="黑体" w:eastAsia="黑体"/>
          <w:sz w:val="30"/>
        </w:rPr>
        <w:t>学期</w:t>
      </w:r>
    </w:p>
    <w:tbl>
      <w:tblPr>
        <w:tblStyle w:val="23"/>
        <w:tblW w:w="9277" w:type="dxa"/>
        <w:tblInd w:w="-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440"/>
        <w:gridCol w:w="915"/>
        <w:gridCol w:w="1245"/>
        <w:gridCol w:w="1275"/>
        <w:gridCol w:w="70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系名称</w:t>
            </w:r>
          </w:p>
        </w:tc>
        <w:tc>
          <w:tcPr>
            <w:tcW w:w="2355" w:type="dxa"/>
            <w:gridSpan w:val="2"/>
            <w:vAlign w:val="center"/>
          </w:tcPr>
          <w:p>
            <w:pPr>
              <w:spacing w:line="240" w:lineRule="auto"/>
              <w:ind w:firstLine="0" w:firstLineChars="0"/>
              <w:jc w:val="center"/>
              <w:rPr>
                <w:rFonts w:ascii="仿宋_GB2312"/>
                <w:sz w:val="21"/>
                <w:szCs w:val="21"/>
              </w:rPr>
            </w:pPr>
          </w:p>
        </w:tc>
        <w:tc>
          <w:tcPr>
            <w:tcW w:w="252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专业班级（全称）</w:t>
            </w:r>
          </w:p>
        </w:tc>
        <w:tc>
          <w:tcPr>
            <w:tcW w:w="3045" w:type="dxa"/>
            <w:gridSpan w:val="2"/>
            <w:vAlign w:val="center"/>
          </w:tcPr>
          <w:p>
            <w:pPr>
              <w:spacing w:line="240" w:lineRule="auto"/>
              <w:ind w:firstLine="0" w:firstLineChars="0"/>
              <w:jc w:val="center"/>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1357" w:type="dxa"/>
            <w:vMerge w:val="restart"/>
            <w:vAlign w:val="center"/>
          </w:tcPr>
          <w:p>
            <w:pPr>
              <w:spacing w:line="240" w:lineRule="auto"/>
              <w:ind w:firstLine="0" w:firstLineChars="0"/>
              <w:jc w:val="center"/>
              <w:rPr>
                <w:rFonts w:ascii="仿宋_GB2312"/>
                <w:sz w:val="21"/>
                <w:szCs w:val="21"/>
              </w:rPr>
            </w:pPr>
            <w:r>
              <w:rPr>
                <w:rFonts w:hint="eastAsia" w:ascii="仿宋_GB2312"/>
                <w:sz w:val="21"/>
                <w:szCs w:val="21"/>
              </w:rPr>
              <w:t>原计划</w:t>
            </w:r>
          </w:p>
        </w:tc>
        <w:tc>
          <w:tcPr>
            <w:tcW w:w="1440" w:type="dxa"/>
            <w:vAlign w:val="center"/>
          </w:tcPr>
          <w:p>
            <w:pPr>
              <w:spacing w:line="240" w:lineRule="auto"/>
              <w:ind w:firstLine="0" w:firstLineChars="0"/>
              <w:jc w:val="center"/>
              <w:rPr>
                <w:rFonts w:ascii="仿宋_GB2312"/>
                <w:sz w:val="21"/>
                <w:szCs w:val="21"/>
              </w:rPr>
            </w:pPr>
            <w:r>
              <w:rPr>
                <w:rFonts w:hint="eastAsia" w:ascii="仿宋_GB2312"/>
                <w:sz w:val="21"/>
                <w:szCs w:val="21"/>
              </w:rPr>
              <w:t>课程名称</w:t>
            </w:r>
          </w:p>
          <w:p>
            <w:pPr>
              <w:spacing w:line="240" w:lineRule="auto"/>
              <w:ind w:firstLine="0" w:firstLineChars="0"/>
              <w:jc w:val="center"/>
              <w:rPr>
                <w:rFonts w:ascii="仿宋_GB2312"/>
                <w:sz w:val="21"/>
                <w:szCs w:val="21"/>
              </w:rPr>
            </w:pPr>
            <w:r>
              <w:rPr>
                <w:rFonts w:hint="eastAsia" w:ascii="仿宋_GB2312"/>
                <w:sz w:val="21"/>
                <w:szCs w:val="21"/>
              </w:rPr>
              <w:t>（全称）</w:t>
            </w:r>
          </w:p>
        </w:tc>
        <w:tc>
          <w:tcPr>
            <w:tcW w:w="2160" w:type="dxa"/>
            <w:gridSpan w:val="2"/>
            <w:vAlign w:val="center"/>
          </w:tcPr>
          <w:p>
            <w:pPr>
              <w:spacing w:line="240" w:lineRule="auto"/>
              <w:ind w:firstLine="0" w:firstLineChars="0"/>
              <w:jc w:val="center"/>
              <w:rPr>
                <w:rFonts w:ascii="仿宋_GB2312"/>
                <w:sz w:val="21"/>
                <w:szCs w:val="21"/>
              </w:rPr>
            </w:pPr>
          </w:p>
        </w:tc>
        <w:tc>
          <w:tcPr>
            <w:tcW w:w="198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计划学期</w:t>
            </w:r>
          </w:p>
          <w:p>
            <w:pPr>
              <w:spacing w:line="240" w:lineRule="auto"/>
              <w:ind w:firstLine="0" w:firstLineChars="0"/>
              <w:rPr>
                <w:rFonts w:ascii="仿宋_GB2312"/>
                <w:sz w:val="21"/>
                <w:szCs w:val="21"/>
              </w:rPr>
            </w:pPr>
            <w:r>
              <w:rPr>
                <w:rFonts w:hint="eastAsia" w:ascii="仿宋_GB2312"/>
                <w:sz w:val="21"/>
                <w:szCs w:val="21"/>
              </w:rPr>
              <w:t>课程计划分布周</w:t>
            </w:r>
          </w:p>
        </w:tc>
        <w:tc>
          <w:tcPr>
            <w:tcW w:w="2340" w:type="dxa"/>
            <w:vAlign w:val="center"/>
          </w:tcPr>
          <w:p>
            <w:pPr>
              <w:spacing w:line="240" w:lineRule="auto"/>
              <w:ind w:firstLine="0" w:firstLineChars="0"/>
              <w:rPr>
                <w:rFonts w:ascii="仿宋_GB2312"/>
                <w:sz w:val="21"/>
                <w:szCs w:val="21"/>
              </w:rPr>
            </w:pPr>
            <w:r>
              <w:rPr>
                <w:rFonts w:ascii="仿宋_GB2312"/>
                <w:sz w:val="21"/>
                <w:szCs w:val="21"/>
                <w:u w:val="single"/>
              </w:rPr>
              <w:t xml:space="preserve">      </w:t>
            </w:r>
            <w:r>
              <w:rPr>
                <w:rFonts w:hint="eastAsia" w:ascii="仿宋_GB2312"/>
                <w:sz w:val="21"/>
                <w:szCs w:val="21"/>
              </w:rPr>
              <w:t>学年第</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学期 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1357" w:type="dxa"/>
            <w:vMerge w:val="continue"/>
            <w:vAlign w:val="center"/>
          </w:tcPr>
          <w:p>
            <w:pPr>
              <w:spacing w:line="240" w:lineRule="auto"/>
              <w:ind w:firstLine="0" w:firstLineChars="0"/>
              <w:jc w:val="center"/>
              <w:rPr>
                <w:rFonts w:ascii="仿宋_GB2312"/>
                <w:sz w:val="21"/>
                <w:szCs w:val="21"/>
              </w:rPr>
            </w:pPr>
          </w:p>
        </w:tc>
        <w:tc>
          <w:tcPr>
            <w:tcW w:w="1440" w:type="dxa"/>
            <w:vAlign w:val="center"/>
          </w:tcPr>
          <w:p>
            <w:pPr>
              <w:spacing w:line="240" w:lineRule="auto"/>
              <w:ind w:firstLine="0" w:firstLineChars="0"/>
              <w:jc w:val="center"/>
              <w:rPr>
                <w:rFonts w:ascii="仿宋_GB2312"/>
                <w:sz w:val="21"/>
                <w:szCs w:val="21"/>
              </w:rPr>
            </w:pPr>
            <w:r>
              <w:rPr>
                <w:rFonts w:hint="eastAsia" w:ascii="仿宋_GB2312"/>
                <w:sz w:val="21"/>
                <w:szCs w:val="21"/>
              </w:rPr>
              <w:t>计划总学时计划周学时</w:t>
            </w:r>
          </w:p>
        </w:tc>
        <w:tc>
          <w:tcPr>
            <w:tcW w:w="2160" w:type="dxa"/>
            <w:gridSpan w:val="2"/>
            <w:vAlign w:val="center"/>
          </w:tcPr>
          <w:p>
            <w:pPr>
              <w:spacing w:line="240" w:lineRule="auto"/>
              <w:ind w:firstLine="0" w:firstLineChars="0"/>
              <w:rPr>
                <w:rFonts w:ascii="仿宋_GB2312"/>
                <w:sz w:val="21"/>
                <w:szCs w:val="21"/>
              </w:rPr>
            </w:pPr>
            <w:r>
              <w:rPr>
                <w:rFonts w:hint="eastAsia" w:ascii="仿宋_GB2312"/>
                <w:sz w:val="21"/>
                <w:szCs w:val="21"/>
              </w:rPr>
              <w:t>总学时</w:t>
            </w:r>
            <w:r>
              <w:rPr>
                <w:rFonts w:hint="eastAsia" w:ascii="仿宋_GB2312"/>
                <w:sz w:val="21"/>
                <w:szCs w:val="21"/>
                <w:u w:val="single"/>
              </w:rPr>
              <w:t xml:space="preserve">     </w:t>
            </w:r>
          </w:p>
          <w:p>
            <w:pPr>
              <w:spacing w:line="240" w:lineRule="auto"/>
              <w:ind w:firstLine="0" w:firstLineChars="0"/>
              <w:rPr>
                <w:rFonts w:ascii="仿宋_GB2312"/>
                <w:sz w:val="21"/>
                <w:szCs w:val="21"/>
                <w:u w:val="single"/>
              </w:rPr>
            </w:pPr>
            <w:r>
              <w:rPr>
                <w:rFonts w:hint="eastAsia" w:ascii="仿宋_GB2312"/>
                <w:sz w:val="21"/>
                <w:szCs w:val="21"/>
              </w:rPr>
              <w:t>周学时</w:t>
            </w:r>
            <w:r>
              <w:rPr>
                <w:rFonts w:hint="eastAsia" w:ascii="仿宋_GB2312"/>
                <w:sz w:val="21"/>
                <w:szCs w:val="21"/>
                <w:u w:val="single"/>
              </w:rPr>
              <w:t xml:space="preserve">     </w:t>
            </w:r>
          </w:p>
        </w:tc>
        <w:tc>
          <w:tcPr>
            <w:tcW w:w="198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任课教师</w:t>
            </w:r>
          </w:p>
        </w:tc>
        <w:tc>
          <w:tcPr>
            <w:tcW w:w="2340" w:type="dxa"/>
            <w:vAlign w:val="center"/>
          </w:tcPr>
          <w:p>
            <w:pPr>
              <w:spacing w:line="240" w:lineRule="auto"/>
              <w:ind w:firstLine="0" w:firstLineChars="0"/>
              <w:jc w:val="center"/>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3"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变更原因</w:t>
            </w:r>
          </w:p>
          <w:p>
            <w:pPr>
              <w:spacing w:line="240" w:lineRule="auto"/>
              <w:ind w:firstLine="0" w:firstLineChars="0"/>
              <w:jc w:val="center"/>
              <w:rPr>
                <w:rFonts w:ascii="仿宋_GB2312"/>
                <w:sz w:val="21"/>
                <w:szCs w:val="21"/>
              </w:rPr>
            </w:pPr>
            <w:r>
              <w:rPr>
                <w:rFonts w:hint="eastAsia" w:ascii="仿宋_GB2312"/>
                <w:sz w:val="21"/>
                <w:szCs w:val="21"/>
              </w:rPr>
              <w:t>及内容（此表不够可另附说明材料）</w:t>
            </w:r>
          </w:p>
        </w:tc>
        <w:tc>
          <w:tcPr>
            <w:tcW w:w="7920" w:type="dxa"/>
            <w:gridSpan w:val="6"/>
            <w:vAlign w:val="center"/>
          </w:tcPr>
          <w:p>
            <w:pPr>
              <w:ind w:firstLine="420"/>
              <w:jc w:val="left"/>
              <w:rPr>
                <w:rFonts w:ascii="仿宋_GB2312"/>
                <w:sz w:val="21"/>
                <w:szCs w:val="21"/>
              </w:rPr>
            </w:pPr>
          </w:p>
          <w:p>
            <w:pPr>
              <w:ind w:firstLine="0" w:firstLineChars="0"/>
              <w:jc w:val="left"/>
              <w:rPr>
                <w:rFonts w:ascii="仿宋_GB2312"/>
                <w:sz w:val="21"/>
                <w:szCs w:val="21"/>
              </w:rPr>
            </w:pPr>
          </w:p>
          <w:p>
            <w:pPr>
              <w:ind w:firstLine="420"/>
              <w:jc w:val="left"/>
              <w:rPr>
                <w:rFonts w:ascii="仿宋_GB2312"/>
                <w:sz w:val="21"/>
                <w:szCs w:val="21"/>
              </w:rPr>
            </w:pPr>
          </w:p>
          <w:p>
            <w:pPr>
              <w:ind w:firstLine="420"/>
              <w:jc w:val="center"/>
              <w:rPr>
                <w:rFonts w:ascii="仿宋_GB2312"/>
                <w:sz w:val="21"/>
                <w:szCs w:val="21"/>
              </w:rPr>
            </w:pPr>
            <w:r>
              <w:rPr>
                <w:rFonts w:hint="eastAsia" w:ascii="仿宋_GB2312"/>
                <w:sz w:val="21"/>
                <w:szCs w:val="21"/>
              </w:rPr>
              <w:t xml:space="preserve">    </w:t>
            </w:r>
          </w:p>
          <w:p>
            <w:pPr>
              <w:ind w:firstLine="420"/>
              <w:jc w:val="center"/>
              <w:rPr>
                <w:rFonts w:ascii="仿宋_GB2312"/>
                <w:sz w:val="21"/>
                <w:szCs w:val="21"/>
              </w:rPr>
            </w:pPr>
            <w:r>
              <w:rPr>
                <w:rFonts w:hint="eastAsia" w:ascii="仿宋_GB2312"/>
                <w:sz w:val="21"/>
                <w:szCs w:val="21"/>
              </w:rPr>
              <w:t xml:space="preserve">                       教研室主任签名：</w:t>
            </w:r>
          </w:p>
          <w:p>
            <w:pPr>
              <w:tabs>
                <w:tab w:val="left" w:pos="5472"/>
              </w:tabs>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教学管理小组意见</w:t>
            </w:r>
          </w:p>
        </w:tc>
        <w:tc>
          <w:tcPr>
            <w:tcW w:w="7920" w:type="dxa"/>
            <w:gridSpan w:val="6"/>
            <w:vAlign w:val="center"/>
          </w:tcPr>
          <w:p>
            <w:pPr>
              <w:ind w:firstLine="420"/>
              <w:jc w:val="center"/>
              <w:rPr>
                <w:rFonts w:ascii="仿宋_GB2312"/>
                <w:sz w:val="21"/>
                <w:szCs w:val="21"/>
              </w:rPr>
            </w:pPr>
          </w:p>
          <w:p>
            <w:pPr>
              <w:ind w:firstLine="420"/>
              <w:jc w:val="center"/>
              <w:rPr>
                <w:rFonts w:ascii="仿宋_GB2312"/>
                <w:sz w:val="21"/>
                <w:szCs w:val="21"/>
              </w:rPr>
            </w:pPr>
          </w:p>
          <w:p>
            <w:pPr>
              <w:ind w:firstLine="420"/>
              <w:jc w:val="center"/>
              <w:rPr>
                <w:rFonts w:ascii="仿宋_GB2312"/>
                <w:sz w:val="21"/>
                <w:szCs w:val="21"/>
              </w:rPr>
            </w:pPr>
            <w:r>
              <w:rPr>
                <w:rFonts w:hint="eastAsia" w:ascii="仿宋_GB2312"/>
                <w:sz w:val="21"/>
                <w:szCs w:val="21"/>
              </w:rPr>
              <w:t xml:space="preserve">                               系主任签名：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教务处</w:t>
            </w:r>
          </w:p>
          <w:p>
            <w:pPr>
              <w:spacing w:line="240" w:lineRule="auto"/>
              <w:ind w:firstLine="0" w:firstLineChars="0"/>
              <w:jc w:val="center"/>
              <w:rPr>
                <w:rFonts w:ascii="仿宋_GB2312"/>
                <w:sz w:val="21"/>
                <w:szCs w:val="21"/>
              </w:rPr>
            </w:pPr>
          </w:p>
          <w:p>
            <w:pPr>
              <w:spacing w:line="240" w:lineRule="auto"/>
              <w:ind w:firstLine="0" w:firstLineChars="0"/>
              <w:jc w:val="center"/>
              <w:rPr>
                <w:rFonts w:ascii="仿宋_GB2312"/>
                <w:sz w:val="21"/>
                <w:szCs w:val="21"/>
              </w:rPr>
            </w:pPr>
            <w:r>
              <w:rPr>
                <w:rFonts w:hint="eastAsia" w:ascii="仿宋_GB2312"/>
                <w:sz w:val="21"/>
                <w:szCs w:val="21"/>
              </w:rPr>
              <w:t>意见</w:t>
            </w:r>
          </w:p>
        </w:tc>
        <w:tc>
          <w:tcPr>
            <w:tcW w:w="7920" w:type="dxa"/>
            <w:gridSpan w:val="6"/>
            <w:vAlign w:val="center"/>
          </w:tcPr>
          <w:p>
            <w:pPr>
              <w:ind w:firstLine="0" w:firstLineChars="0"/>
              <w:rPr>
                <w:rFonts w:ascii="仿宋_GB2312"/>
                <w:sz w:val="21"/>
                <w:szCs w:val="21"/>
              </w:rPr>
            </w:pPr>
          </w:p>
          <w:p>
            <w:pPr>
              <w:ind w:firstLine="420"/>
              <w:jc w:val="center"/>
              <w:rPr>
                <w:rFonts w:ascii="仿宋_GB2312"/>
                <w:sz w:val="21"/>
                <w:szCs w:val="21"/>
              </w:rPr>
            </w:pPr>
          </w:p>
          <w:p>
            <w:pPr>
              <w:ind w:firstLine="420"/>
              <w:rPr>
                <w:rFonts w:ascii="仿宋_GB2312"/>
                <w:sz w:val="21"/>
                <w:szCs w:val="21"/>
              </w:rPr>
            </w:pPr>
            <w:r>
              <w:rPr>
                <w:rFonts w:hint="eastAsia" w:ascii="仿宋_GB2312"/>
                <w:sz w:val="21"/>
                <w:szCs w:val="21"/>
              </w:rPr>
              <w:t xml:space="preserve">                                   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校学术委员会意见</w:t>
            </w:r>
          </w:p>
        </w:tc>
        <w:tc>
          <w:tcPr>
            <w:tcW w:w="7920" w:type="dxa"/>
            <w:gridSpan w:val="6"/>
            <w:vAlign w:val="center"/>
          </w:tcPr>
          <w:p>
            <w:pPr>
              <w:ind w:firstLine="420"/>
              <w:rPr>
                <w:rFonts w:ascii="仿宋_GB2312"/>
                <w:sz w:val="21"/>
                <w:szCs w:val="21"/>
              </w:rPr>
            </w:pPr>
          </w:p>
          <w:p>
            <w:pPr>
              <w:ind w:firstLine="420"/>
              <w:jc w:val="center"/>
              <w:rPr>
                <w:rFonts w:ascii="仿宋_GB2312"/>
                <w:sz w:val="21"/>
                <w:szCs w:val="21"/>
              </w:rPr>
            </w:pPr>
            <w:r>
              <w:rPr>
                <w:rFonts w:hint="eastAsia" w:ascii="仿宋_GB2312"/>
                <w:sz w:val="21"/>
                <w:szCs w:val="21"/>
              </w:rPr>
              <w:t xml:space="preserve">                               主任签名：</w:t>
            </w:r>
          </w:p>
          <w:p>
            <w:pPr>
              <w:ind w:firstLine="420"/>
              <w:jc w:val="center"/>
              <w:rPr>
                <w:rFonts w:ascii="仿宋_GB2312"/>
                <w:sz w:val="21"/>
                <w:szCs w:val="21"/>
              </w:rPr>
            </w:pPr>
            <w:r>
              <w:rPr>
                <w:rFonts w:hint="eastAsia" w:ascii="仿宋_GB2312"/>
                <w:sz w:val="21"/>
                <w:szCs w:val="21"/>
              </w:rPr>
              <w:t xml:space="preserve">                                                    年   月   日</w:t>
            </w:r>
          </w:p>
        </w:tc>
      </w:tr>
    </w:tbl>
    <w:p>
      <w:pPr>
        <w:ind w:firstLine="420"/>
        <w:rPr>
          <w:rFonts w:ascii="黑体" w:eastAsia="黑体"/>
          <w:sz w:val="21"/>
          <w:szCs w:val="21"/>
        </w:rPr>
      </w:pPr>
      <w:r>
        <w:rPr>
          <w:rFonts w:hint="eastAsia" w:ascii="黑体" w:eastAsia="黑体"/>
          <w:sz w:val="21"/>
          <w:szCs w:val="21"/>
        </w:rPr>
        <w:t>备注：本表一式两份填报，经批准后，一份在系存档，一份在教务处存档。</w:t>
      </w:r>
    </w:p>
    <w:p>
      <w:pPr>
        <w:ind w:firstLine="0" w:firstLineChars="0"/>
        <w:rPr>
          <w:rFonts w:ascii="黑体" w:eastAsia="黑体"/>
          <w:sz w:val="21"/>
          <w:szCs w:val="21"/>
        </w:rPr>
      </w:pPr>
    </w:p>
    <w:sectPr>
      <w:footerReference r:id="rId13" w:type="default"/>
      <w:pgSz w:w="11906" w:h="16838"/>
      <w:pgMar w:top="1440" w:right="1463" w:bottom="1440" w:left="1519"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A61117-FBD5-4FF4-9273-9EB8B7D23D4D}"/>
  </w:font>
  <w:font w:name="Arial">
    <w:panose1 w:val="020B0604020202020204"/>
    <w:charset w:val="01"/>
    <w:family w:val="swiss"/>
    <w:pitch w:val="default"/>
    <w:sig w:usb0="E0002EFF" w:usb1="C000785B" w:usb2="00000009" w:usb3="00000000" w:csb0="400001FF" w:csb1="FFFF0000"/>
    <w:embedRegular r:id="rId2" w:fontKey="{8776EC3C-837A-49D1-8E70-6E1F4A74BF79}"/>
  </w:font>
  <w:font w:name="黑体">
    <w:panose1 w:val="02010609060101010101"/>
    <w:charset w:val="86"/>
    <w:family w:val="auto"/>
    <w:pitch w:val="default"/>
    <w:sig w:usb0="800002BF" w:usb1="38CF7CFA" w:usb2="00000016" w:usb3="00000000" w:csb0="00040001" w:csb1="00000000"/>
    <w:embedRegular r:id="rId3" w:fontKey="{D36E6F29-58D7-4E45-ADCA-CB2C8FC16542}"/>
  </w:font>
  <w:font w:name="Courier New">
    <w:panose1 w:val="02070309020205020404"/>
    <w:charset w:val="01"/>
    <w:family w:val="modern"/>
    <w:pitch w:val="default"/>
    <w:sig w:usb0="E0002EFF" w:usb1="C0007843" w:usb2="00000009" w:usb3="00000000" w:csb0="400001FF" w:csb1="FFFF0000"/>
    <w:embedRegular r:id="rId4" w:fontKey="{D24C4921-AFA8-40A0-A646-CD21DA9E6416}"/>
  </w:font>
  <w:font w:name="Symbol">
    <w:panose1 w:val="05050102010706020507"/>
    <w:charset w:val="02"/>
    <w:family w:val="roman"/>
    <w:pitch w:val="default"/>
    <w:sig w:usb0="00000000" w:usb1="00000000" w:usb2="00000000" w:usb3="00000000" w:csb0="80000000" w:csb1="00000000"/>
    <w:embedRegular r:id="rId5" w:fontKey="{3C3A4D7C-827C-4BA3-AE74-B0038CE3D055}"/>
  </w:font>
  <w:font w:name="Calibri">
    <w:panose1 w:val="020F0502020204030204"/>
    <w:charset w:val="00"/>
    <w:family w:val="swiss"/>
    <w:pitch w:val="default"/>
    <w:sig w:usb0="E4002EFF" w:usb1="C000247B" w:usb2="00000009" w:usb3="00000000" w:csb0="200001FF" w:csb1="00000000"/>
    <w:embedRegular r:id="rId6" w:fontKey="{908ABA0A-0D7E-4C4F-BF83-505DE57C85EE}"/>
  </w:font>
  <w:font w:name="仿宋_GB2312">
    <w:altName w:val="仿宋"/>
    <w:panose1 w:val="00000000000000000000"/>
    <w:charset w:val="86"/>
    <w:family w:val="modern"/>
    <w:pitch w:val="default"/>
    <w:sig w:usb0="00000000" w:usb1="00000000" w:usb2="00000010" w:usb3="00000000" w:csb0="00040000" w:csb1="00000000"/>
    <w:embedRegular r:id="rId7" w:fontKey="{A7D6467B-2A5C-42AC-A98E-E9564C8A91AA}"/>
  </w:font>
  <w:font w:name="Cambria">
    <w:panose1 w:val="02040503050406030204"/>
    <w:charset w:val="00"/>
    <w:family w:val="roman"/>
    <w:pitch w:val="default"/>
    <w:sig w:usb0="E00006FF" w:usb1="420024FF" w:usb2="02000000" w:usb3="00000000" w:csb0="2000019F" w:csb1="00000000"/>
    <w:embedRegular r:id="rId8" w:fontKey="{5811EB4D-6DCA-4723-8CC2-6D05AA346796}"/>
  </w:font>
  <w:font w:name="方正书宋简体">
    <w:altName w:val="黑体"/>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000" w:usb1="00000000" w:usb2="00000000" w:usb3="00000000" w:csb0="00000000" w:csb1="00000000"/>
    <w:embedRegular r:id="rId9" w:fontKey="{5B7C76AD-A8F9-44F8-B49E-C1357CCDB7F8}"/>
  </w:font>
  <w:font w:name="华文新魏">
    <w:panose1 w:val="02010800040101010101"/>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2" w:usb3="00000000" w:csb0="00040001" w:csb1="00000000"/>
    <w:embedRegular r:id="rId10" w:fontKey="{AB907100-5D1F-4821-A858-19D7374214EC}"/>
  </w:font>
  <w:font w:name="楷体_GB2312">
    <w:altName w:val="楷体"/>
    <w:panose1 w:val="00000000000000000000"/>
    <w:charset w:val="86"/>
    <w:family w:val="modern"/>
    <w:pitch w:val="default"/>
    <w:sig w:usb0="00000000" w:usb1="00000000" w:usb2="00000000" w:usb3="00000000" w:csb0="00000000" w:csb1="00000000"/>
    <w:embedRegular r:id="rId11" w:fontKey="{C7943D84-BE24-40FA-9381-A026D9064A0D}"/>
  </w:font>
  <w:font w:name="楷体">
    <w:panose1 w:val="02010609060101010101"/>
    <w:charset w:val="86"/>
    <w:family w:val="auto"/>
    <w:pitch w:val="default"/>
    <w:sig w:usb0="800002BF" w:usb1="38CF7CFA" w:usb2="00000016" w:usb3="00000000" w:csb0="00040001" w:csb1="00000000"/>
    <w:embedRegular r:id="rId12" w:fontKey="{2BD0B007-4608-47A6-9F43-E4E6E1D2D297}"/>
  </w:font>
  <w:font w:name="微软雅黑">
    <w:panose1 w:val="020B0503020204020204"/>
    <w:charset w:val="86"/>
    <w:family w:val="auto"/>
    <w:pitch w:val="default"/>
    <w:sig w:usb0="80000287" w:usb1="2ACF3C50" w:usb2="00000016" w:usb3="00000000" w:csb0="0004001F" w:csb1="00000000"/>
    <w:embedRegular r:id="rId13" w:fontKey="{A25B8FF2-6F6C-4428-9CC1-A5106E098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8C440D"/>
    <w:multiLevelType w:val="singleLevel"/>
    <w:tmpl w:val="8C8C440D"/>
    <w:lvl w:ilvl="0" w:tentative="0">
      <w:start w:val="3"/>
      <w:numFmt w:val="decimal"/>
      <w:lvlText w:val="%1."/>
      <w:lvlJc w:val="left"/>
      <w:pPr>
        <w:tabs>
          <w:tab w:val="left" w:pos="312"/>
        </w:tabs>
      </w:pPr>
    </w:lvl>
  </w:abstractNum>
  <w:abstractNum w:abstractNumId="1">
    <w:nsid w:val="72CB1924"/>
    <w:multiLevelType w:val="multilevel"/>
    <w:tmpl w:val="72CB192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displayBackgroundShape w:val="1"/>
  <w:embedTrueType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C2"/>
    <w:rsid w:val="00007958"/>
    <w:rsid w:val="00010C96"/>
    <w:rsid w:val="0001734E"/>
    <w:rsid w:val="00021129"/>
    <w:rsid w:val="0002652D"/>
    <w:rsid w:val="00030480"/>
    <w:rsid w:val="0004313C"/>
    <w:rsid w:val="00047600"/>
    <w:rsid w:val="00052BDB"/>
    <w:rsid w:val="00055C92"/>
    <w:rsid w:val="00056DDB"/>
    <w:rsid w:val="00057EB4"/>
    <w:rsid w:val="00064813"/>
    <w:rsid w:val="00091619"/>
    <w:rsid w:val="00093603"/>
    <w:rsid w:val="000A460D"/>
    <w:rsid w:val="000A46CA"/>
    <w:rsid w:val="000B628D"/>
    <w:rsid w:val="000B7CF4"/>
    <w:rsid w:val="000B7F3E"/>
    <w:rsid w:val="000C1E0C"/>
    <w:rsid w:val="000D0441"/>
    <w:rsid w:val="000D5277"/>
    <w:rsid w:val="000E239A"/>
    <w:rsid w:val="000F6430"/>
    <w:rsid w:val="00101AA4"/>
    <w:rsid w:val="00106C7F"/>
    <w:rsid w:val="00107A47"/>
    <w:rsid w:val="00110F4A"/>
    <w:rsid w:val="0011363D"/>
    <w:rsid w:val="00115F49"/>
    <w:rsid w:val="0011785B"/>
    <w:rsid w:val="00117CB1"/>
    <w:rsid w:val="0012133B"/>
    <w:rsid w:val="001240F8"/>
    <w:rsid w:val="00126917"/>
    <w:rsid w:val="00141284"/>
    <w:rsid w:val="0015521F"/>
    <w:rsid w:val="00155393"/>
    <w:rsid w:val="001561C7"/>
    <w:rsid w:val="001612D1"/>
    <w:rsid w:val="001633CD"/>
    <w:rsid w:val="00163D50"/>
    <w:rsid w:val="00165E98"/>
    <w:rsid w:val="001661FF"/>
    <w:rsid w:val="00167E31"/>
    <w:rsid w:val="001723AF"/>
    <w:rsid w:val="001732FA"/>
    <w:rsid w:val="00173E59"/>
    <w:rsid w:val="001A0990"/>
    <w:rsid w:val="001A3523"/>
    <w:rsid w:val="001B26D2"/>
    <w:rsid w:val="001B7818"/>
    <w:rsid w:val="001D0A9E"/>
    <w:rsid w:val="001D64FE"/>
    <w:rsid w:val="001D69BA"/>
    <w:rsid w:val="001E6631"/>
    <w:rsid w:val="001F46D1"/>
    <w:rsid w:val="002145A9"/>
    <w:rsid w:val="00214CC2"/>
    <w:rsid w:val="00224A13"/>
    <w:rsid w:val="00230A8A"/>
    <w:rsid w:val="002348D3"/>
    <w:rsid w:val="00242832"/>
    <w:rsid w:val="0024707B"/>
    <w:rsid w:val="002521CD"/>
    <w:rsid w:val="002756C2"/>
    <w:rsid w:val="002863E6"/>
    <w:rsid w:val="00291486"/>
    <w:rsid w:val="00292D62"/>
    <w:rsid w:val="00294AAA"/>
    <w:rsid w:val="002A31CD"/>
    <w:rsid w:val="002A5452"/>
    <w:rsid w:val="002B0952"/>
    <w:rsid w:val="002B6522"/>
    <w:rsid w:val="002C0480"/>
    <w:rsid w:val="002D5E43"/>
    <w:rsid w:val="002E07FD"/>
    <w:rsid w:val="002E08EA"/>
    <w:rsid w:val="002F3FFD"/>
    <w:rsid w:val="00302300"/>
    <w:rsid w:val="00302536"/>
    <w:rsid w:val="003077EB"/>
    <w:rsid w:val="00321190"/>
    <w:rsid w:val="00326A0F"/>
    <w:rsid w:val="00330000"/>
    <w:rsid w:val="00335319"/>
    <w:rsid w:val="00336753"/>
    <w:rsid w:val="003371C0"/>
    <w:rsid w:val="003409DD"/>
    <w:rsid w:val="003436CB"/>
    <w:rsid w:val="00344D5F"/>
    <w:rsid w:val="00350276"/>
    <w:rsid w:val="00354544"/>
    <w:rsid w:val="00364E8F"/>
    <w:rsid w:val="00373BE1"/>
    <w:rsid w:val="00393C2F"/>
    <w:rsid w:val="003B58DA"/>
    <w:rsid w:val="003B6E71"/>
    <w:rsid w:val="003C2BAD"/>
    <w:rsid w:val="003C3918"/>
    <w:rsid w:val="003D02D8"/>
    <w:rsid w:val="003D6921"/>
    <w:rsid w:val="003F13A7"/>
    <w:rsid w:val="003F381A"/>
    <w:rsid w:val="003F7C8C"/>
    <w:rsid w:val="00400C08"/>
    <w:rsid w:val="00424809"/>
    <w:rsid w:val="00425C5E"/>
    <w:rsid w:val="00427045"/>
    <w:rsid w:val="00436797"/>
    <w:rsid w:val="00442514"/>
    <w:rsid w:val="00446704"/>
    <w:rsid w:val="00461F8C"/>
    <w:rsid w:val="0046536E"/>
    <w:rsid w:val="0046653F"/>
    <w:rsid w:val="00483481"/>
    <w:rsid w:val="0048673C"/>
    <w:rsid w:val="0049457D"/>
    <w:rsid w:val="004A14B8"/>
    <w:rsid w:val="004A5FC0"/>
    <w:rsid w:val="004C2E49"/>
    <w:rsid w:val="004E2FAA"/>
    <w:rsid w:val="004F1DE3"/>
    <w:rsid w:val="004F23DB"/>
    <w:rsid w:val="005055A7"/>
    <w:rsid w:val="00514867"/>
    <w:rsid w:val="00515431"/>
    <w:rsid w:val="00516810"/>
    <w:rsid w:val="00533035"/>
    <w:rsid w:val="0053557B"/>
    <w:rsid w:val="00541D6A"/>
    <w:rsid w:val="00543790"/>
    <w:rsid w:val="005506B3"/>
    <w:rsid w:val="00551228"/>
    <w:rsid w:val="00552D74"/>
    <w:rsid w:val="00557A8C"/>
    <w:rsid w:val="00570B79"/>
    <w:rsid w:val="0057760C"/>
    <w:rsid w:val="00596A98"/>
    <w:rsid w:val="00597744"/>
    <w:rsid w:val="005A19CF"/>
    <w:rsid w:val="005A1CD2"/>
    <w:rsid w:val="005A5D91"/>
    <w:rsid w:val="005B0170"/>
    <w:rsid w:val="005B3B8D"/>
    <w:rsid w:val="005B62B7"/>
    <w:rsid w:val="005B708E"/>
    <w:rsid w:val="005C6330"/>
    <w:rsid w:val="005C7277"/>
    <w:rsid w:val="005C7FA4"/>
    <w:rsid w:val="005D04ED"/>
    <w:rsid w:val="005D4709"/>
    <w:rsid w:val="005E3B23"/>
    <w:rsid w:val="005E6C5C"/>
    <w:rsid w:val="005E715A"/>
    <w:rsid w:val="005E7CBC"/>
    <w:rsid w:val="00600C9F"/>
    <w:rsid w:val="006110B3"/>
    <w:rsid w:val="00612BA5"/>
    <w:rsid w:val="00622E93"/>
    <w:rsid w:val="00625B5A"/>
    <w:rsid w:val="0063643D"/>
    <w:rsid w:val="00636F1F"/>
    <w:rsid w:val="00652025"/>
    <w:rsid w:val="00654BA5"/>
    <w:rsid w:val="006551BD"/>
    <w:rsid w:val="00655ACD"/>
    <w:rsid w:val="006607A7"/>
    <w:rsid w:val="00665FEE"/>
    <w:rsid w:val="0066711C"/>
    <w:rsid w:val="00667F09"/>
    <w:rsid w:val="0067154E"/>
    <w:rsid w:val="00671BFC"/>
    <w:rsid w:val="0067796B"/>
    <w:rsid w:val="00695FD6"/>
    <w:rsid w:val="006A78F0"/>
    <w:rsid w:val="006C17F8"/>
    <w:rsid w:val="006D15A0"/>
    <w:rsid w:val="006D5D39"/>
    <w:rsid w:val="006E2508"/>
    <w:rsid w:val="006F072F"/>
    <w:rsid w:val="00701E94"/>
    <w:rsid w:val="0070742C"/>
    <w:rsid w:val="00722118"/>
    <w:rsid w:val="00724D5F"/>
    <w:rsid w:val="00730328"/>
    <w:rsid w:val="00735E21"/>
    <w:rsid w:val="007418CB"/>
    <w:rsid w:val="00741D22"/>
    <w:rsid w:val="007521C7"/>
    <w:rsid w:val="007535FB"/>
    <w:rsid w:val="00757B2B"/>
    <w:rsid w:val="00760830"/>
    <w:rsid w:val="00763798"/>
    <w:rsid w:val="00766065"/>
    <w:rsid w:val="007717CB"/>
    <w:rsid w:val="00772E33"/>
    <w:rsid w:val="00785620"/>
    <w:rsid w:val="007968E9"/>
    <w:rsid w:val="007A2A0B"/>
    <w:rsid w:val="007A3E0D"/>
    <w:rsid w:val="007A5B6D"/>
    <w:rsid w:val="007C086A"/>
    <w:rsid w:val="007C2588"/>
    <w:rsid w:val="007C6D39"/>
    <w:rsid w:val="007C7247"/>
    <w:rsid w:val="007D6D67"/>
    <w:rsid w:val="007F0D7C"/>
    <w:rsid w:val="007F13A0"/>
    <w:rsid w:val="007F6850"/>
    <w:rsid w:val="00801B6E"/>
    <w:rsid w:val="008149C1"/>
    <w:rsid w:val="00830E10"/>
    <w:rsid w:val="00837534"/>
    <w:rsid w:val="00837FD4"/>
    <w:rsid w:val="00840916"/>
    <w:rsid w:val="0084720A"/>
    <w:rsid w:val="00860789"/>
    <w:rsid w:val="00862B06"/>
    <w:rsid w:val="00875632"/>
    <w:rsid w:val="00875E42"/>
    <w:rsid w:val="00876DFF"/>
    <w:rsid w:val="008874CF"/>
    <w:rsid w:val="008B2D79"/>
    <w:rsid w:val="008B3962"/>
    <w:rsid w:val="008C4FA7"/>
    <w:rsid w:val="008D17FE"/>
    <w:rsid w:val="008E2F00"/>
    <w:rsid w:val="008E5F2B"/>
    <w:rsid w:val="008F05F9"/>
    <w:rsid w:val="008F73A7"/>
    <w:rsid w:val="008F7DE0"/>
    <w:rsid w:val="009019A2"/>
    <w:rsid w:val="00910B95"/>
    <w:rsid w:val="0091288C"/>
    <w:rsid w:val="00916F5E"/>
    <w:rsid w:val="009309E7"/>
    <w:rsid w:val="00936E04"/>
    <w:rsid w:val="009450E8"/>
    <w:rsid w:val="00952E1D"/>
    <w:rsid w:val="00957221"/>
    <w:rsid w:val="00965340"/>
    <w:rsid w:val="00971DF5"/>
    <w:rsid w:val="009741FB"/>
    <w:rsid w:val="00981FCB"/>
    <w:rsid w:val="0098370A"/>
    <w:rsid w:val="00990E6F"/>
    <w:rsid w:val="009914DC"/>
    <w:rsid w:val="00991D34"/>
    <w:rsid w:val="00992C20"/>
    <w:rsid w:val="00993B8A"/>
    <w:rsid w:val="009A019C"/>
    <w:rsid w:val="009A683C"/>
    <w:rsid w:val="009C3CD1"/>
    <w:rsid w:val="009D0FD5"/>
    <w:rsid w:val="009D6544"/>
    <w:rsid w:val="009D6D19"/>
    <w:rsid w:val="009D6F47"/>
    <w:rsid w:val="009E3A27"/>
    <w:rsid w:val="009F22D9"/>
    <w:rsid w:val="00A1029D"/>
    <w:rsid w:val="00A15561"/>
    <w:rsid w:val="00A15C80"/>
    <w:rsid w:val="00A2112D"/>
    <w:rsid w:val="00A24531"/>
    <w:rsid w:val="00A26502"/>
    <w:rsid w:val="00A27F78"/>
    <w:rsid w:val="00A32EE9"/>
    <w:rsid w:val="00A40343"/>
    <w:rsid w:val="00A4079D"/>
    <w:rsid w:val="00A50213"/>
    <w:rsid w:val="00A50DE8"/>
    <w:rsid w:val="00A53707"/>
    <w:rsid w:val="00A61CE0"/>
    <w:rsid w:val="00A64A18"/>
    <w:rsid w:val="00A670B7"/>
    <w:rsid w:val="00A7570B"/>
    <w:rsid w:val="00A83709"/>
    <w:rsid w:val="00A86815"/>
    <w:rsid w:val="00A905A0"/>
    <w:rsid w:val="00A935FE"/>
    <w:rsid w:val="00AB0929"/>
    <w:rsid w:val="00AB1D4D"/>
    <w:rsid w:val="00AB6590"/>
    <w:rsid w:val="00AC4CBC"/>
    <w:rsid w:val="00AE330A"/>
    <w:rsid w:val="00AE5298"/>
    <w:rsid w:val="00AF15AB"/>
    <w:rsid w:val="00B11814"/>
    <w:rsid w:val="00B2400B"/>
    <w:rsid w:val="00B30BFB"/>
    <w:rsid w:val="00B44A49"/>
    <w:rsid w:val="00B53A80"/>
    <w:rsid w:val="00B54453"/>
    <w:rsid w:val="00B57179"/>
    <w:rsid w:val="00B715DB"/>
    <w:rsid w:val="00B72278"/>
    <w:rsid w:val="00B77934"/>
    <w:rsid w:val="00B82593"/>
    <w:rsid w:val="00B82720"/>
    <w:rsid w:val="00B82F41"/>
    <w:rsid w:val="00BA06F6"/>
    <w:rsid w:val="00BA1F9F"/>
    <w:rsid w:val="00BA763B"/>
    <w:rsid w:val="00BB19C1"/>
    <w:rsid w:val="00BB3345"/>
    <w:rsid w:val="00BB562A"/>
    <w:rsid w:val="00BC38EF"/>
    <w:rsid w:val="00BD694F"/>
    <w:rsid w:val="00BE7363"/>
    <w:rsid w:val="00BF3D93"/>
    <w:rsid w:val="00C03F71"/>
    <w:rsid w:val="00C07FDD"/>
    <w:rsid w:val="00C12BDC"/>
    <w:rsid w:val="00C13A3B"/>
    <w:rsid w:val="00C13F34"/>
    <w:rsid w:val="00C20741"/>
    <w:rsid w:val="00C22F49"/>
    <w:rsid w:val="00C43C9E"/>
    <w:rsid w:val="00C52E02"/>
    <w:rsid w:val="00C535B0"/>
    <w:rsid w:val="00C625DC"/>
    <w:rsid w:val="00C66EAF"/>
    <w:rsid w:val="00C82873"/>
    <w:rsid w:val="00C8430B"/>
    <w:rsid w:val="00C86B75"/>
    <w:rsid w:val="00C86D8F"/>
    <w:rsid w:val="00C95F8E"/>
    <w:rsid w:val="00C97F8C"/>
    <w:rsid w:val="00CA38FF"/>
    <w:rsid w:val="00CB244D"/>
    <w:rsid w:val="00CB3A3B"/>
    <w:rsid w:val="00CB64F0"/>
    <w:rsid w:val="00CC3C90"/>
    <w:rsid w:val="00CD2AC4"/>
    <w:rsid w:val="00CE6059"/>
    <w:rsid w:val="00CE7D52"/>
    <w:rsid w:val="00CF1612"/>
    <w:rsid w:val="00CF2E8D"/>
    <w:rsid w:val="00CF4337"/>
    <w:rsid w:val="00CF4823"/>
    <w:rsid w:val="00D0781D"/>
    <w:rsid w:val="00D2718A"/>
    <w:rsid w:val="00D304D0"/>
    <w:rsid w:val="00D37E26"/>
    <w:rsid w:val="00D431EF"/>
    <w:rsid w:val="00D7106A"/>
    <w:rsid w:val="00D72D24"/>
    <w:rsid w:val="00D80562"/>
    <w:rsid w:val="00D95FE2"/>
    <w:rsid w:val="00DA2BAF"/>
    <w:rsid w:val="00DA6307"/>
    <w:rsid w:val="00DB1AB2"/>
    <w:rsid w:val="00DB57C6"/>
    <w:rsid w:val="00DB6B8F"/>
    <w:rsid w:val="00DD0185"/>
    <w:rsid w:val="00DE1B35"/>
    <w:rsid w:val="00DE66B8"/>
    <w:rsid w:val="00DF2AA9"/>
    <w:rsid w:val="00E473E9"/>
    <w:rsid w:val="00E52D09"/>
    <w:rsid w:val="00E5383F"/>
    <w:rsid w:val="00E61528"/>
    <w:rsid w:val="00E65E73"/>
    <w:rsid w:val="00E66CDB"/>
    <w:rsid w:val="00E93734"/>
    <w:rsid w:val="00EA4391"/>
    <w:rsid w:val="00EA58A7"/>
    <w:rsid w:val="00EA65C3"/>
    <w:rsid w:val="00EA736F"/>
    <w:rsid w:val="00EA75CC"/>
    <w:rsid w:val="00EA791B"/>
    <w:rsid w:val="00EB1636"/>
    <w:rsid w:val="00EB2131"/>
    <w:rsid w:val="00EB51DC"/>
    <w:rsid w:val="00EC188A"/>
    <w:rsid w:val="00EC662D"/>
    <w:rsid w:val="00EE316F"/>
    <w:rsid w:val="00EE44F5"/>
    <w:rsid w:val="00EE457E"/>
    <w:rsid w:val="00EF4EA1"/>
    <w:rsid w:val="00F00645"/>
    <w:rsid w:val="00F01B6F"/>
    <w:rsid w:val="00F06B1E"/>
    <w:rsid w:val="00F14EC2"/>
    <w:rsid w:val="00F15052"/>
    <w:rsid w:val="00F219FB"/>
    <w:rsid w:val="00F21B3C"/>
    <w:rsid w:val="00F23D01"/>
    <w:rsid w:val="00F300AB"/>
    <w:rsid w:val="00F30DA4"/>
    <w:rsid w:val="00F4022C"/>
    <w:rsid w:val="00F44B76"/>
    <w:rsid w:val="00F60BFA"/>
    <w:rsid w:val="00F60C14"/>
    <w:rsid w:val="00F75A09"/>
    <w:rsid w:val="00F8290D"/>
    <w:rsid w:val="00F8341F"/>
    <w:rsid w:val="00F864B0"/>
    <w:rsid w:val="00F969CE"/>
    <w:rsid w:val="00FA4FE4"/>
    <w:rsid w:val="00FA74D5"/>
    <w:rsid w:val="00FB4572"/>
    <w:rsid w:val="00FB56DD"/>
    <w:rsid w:val="00FB603D"/>
    <w:rsid w:val="00FB62D8"/>
    <w:rsid w:val="00FC460F"/>
    <w:rsid w:val="00FD1C40"/>
    <w:rsid w:val="00FD1FF7"/>
    <w:rsid w:val="00FE0216"/>
    <w:rsid w:val="00FF4069"/>
    <w:rsid w:val="054B6644"/>
    <w:rsid w:val="05A27F69"/>
    <w:rsid w:val="06082BC6"/>
    <w:rsid w:val="073613A5"/>
    <w:rsid w:val="0778214B"/>
    <w:rsid w:val="08C92E02"/>
    <w:rsid w:val="09164B93"/>
    <w:rsid w:val="09F56E5F"/>
    <w:rsid w:val="0AEF2F6A"/>
    <w:rsid w:val="0C7A730A"/>
    <w:rsid w:val="0E2953E5"/>
    <w:rsid w:val="106A2FE1"/>
    <w:rsid w:val="11702B71"/>
    <w:rsid w:val="13E451C6"/>
    <w:rsid w:val="148329FB"/>
    <w:rsid w:val="14F40CD3"/>
    <w:rsid w:val="155A3ACA"/>
    <w:rsid w:val="15BA7CA4"/>
    <w:rsid w:val="15CA21DE"/>
    <w:rsid w:val="16344F6D"/>
    <w:rsid w:val="16E01C9A"/>
    <w:rsid w:val="171C36DD"/>
    <w:rsid w:val="184139A1"/>
    <w:rsid w:val="19325063"/>
    <w:rsid w:val="19854B93"/>
    <w:rsid w:val="19FC2BE5"/>
    <w:rsid w:val="1A695DE4"/>
    <w:rsid w:val="1BBB7ABE"/>
    <w:rsid w:val="1BFC9E46"/>
    <w:rsid w:val="1C173580"/>
    <w:rsid w:val="1E9B0DE5"/>
    <w:rsid w:val="22442DC3"/>
    <w:rsid w:val="234F7609"/>
    <w:rsid w:val="24DF6949"/>
    <w:rsid w:val="254A1DF6"/>
    <w:rsid w:val="26B21EF6"/>
    <w:rsid w:val="285B1577"/>
    <w:rsid w:val="28854DBA"/>
    <w:rsid w:val="291F1CAC"/>
    <w:rsid w:val="29AB5F4E"/>
    <w:rsid w:val="29E0618C"/>
    <w:rsid w:val="29E10F18"/>
    <w:rsid w:val="2A8D1A79"/>
    <w:rsid w:val="2C7940DD"/>
    <w:rsid w:val="2D314FC0"/>
    <w:rsid w:val="2F5C030B"/>
    <w:rsid w:val="3017579F"/>
    <w:rsid w:val="315707F4"/>
    <w:rsid w:val="31CA2E56"/>
    <w:rsid w:val="3290581D"/>
    <w:rsid w:val="32AF078F"/>
    <w:rsid w:val="32D954D5"/>
    <w:rsid w:val="35151416"/>
    <w:rsid w:val="35EE4A8F"/>
    <w:rsid w:val="369655A1"/>
    <w:rsid w:val="36F00B92"/>
    <w:rsid w:val="37193922"/>
    <w:rsid w:val="3779122A"/>
    <w:rsid w:val="38386062"/>
    <w:rsid w:val="385703E0"/>
    <w:rsid w:val="38573024"/>
    <w:rsid w:val="38C25A49"/>
    <w:rsid w:val="39870E8D"/>
    <w:rsid w:val="3AC834DC"/>
    <w:rsid w:val="3EFB84F5"/>
    <w:rsid w:val="3F191997"/>
    <w:rsid w:val="3FF8F774"/>
    <w:rsid w:val="40593161"/>
    <w:rsid w:val="417937D0"/>
    <w:rsid w:val="437F0CBF"/>
    <w:rsid w:val="44943B5E"/>
    <w:rsid w:val="46BB3C0D"/>
    <w:rsid w:val="47B96EB6"/>
    <w:rsid w:val="47D27239"/>
    <w:rsid w:val="48657CE2"/>
    <w:rsid w:val="49F205BA"/>
    <w:rsid w:val="4B1C1589"/>
    <w:rsid w:val="4BCF4F24"/>
    <w:rsid w:val="4C693D1C"/>
    <w:rsid w:val="4C742CF5"/>
    <w:rsid w:val="4D697B02"/>
    <w:rsid w:val="4D890B58"/>
    <w:rsid w:val="4DA92451"/>
    <w:rsid w:val="4E67004F"/>
    <w:rsid w:val="4EFB747D"/>
    <w:rsid w:val="50826336"/>
    <w:rsid w:val="516151F3"/>
    <w:rsid w:val="536C3B73"/>
    <w:rsid w:val="539C0B6E"/>
    <w:rsid w:val="562A13E2"/>
    <w:rsid w:val="5669760B"/>
    <w:rsid w:val="56E51092"/>
    <w:rsid w:val="588B524D"/>
    <w:rsid w:val="59766A91"/>
    <w:rsid w:val="5AD63BC8"/>
    <w:rsid w:val="5BFBFDC9"/>
    <w:rsid w:val="5C427DE2"/>
    <w:rsid w:val="5DE40EA7"/>
    <w:rsid w:val="5E587722"/>
    <w:rsid w:val="5FD25252"/>
    <w:rsid w:val="62CC35E5"/>
    <w:rsid w:val="63A0227C"/>
    <w:rsid w:val="644A38DB"/>
    <w:rsid w:val="65954FA2"/>
    <w:rsid w:val="674E7262"/>
    <w:rsid w:val="68141B1F"/>
    <w:rsid w:val="68805EC2"/>
    <w:rsid w:val="68BD6C61"/>
    <w:rsid w:val="6A61486C"/>
    <w:rsid w:val="6CB051FB"/>
    <w:rsid w:val="6D301A20"/>
    <w:rsid w:val="6D473436"/>
    <w:rsid w:val="6F520391"/>
    <w:rsid w:val="70E655DA"/>
    <w:rsid w:val="71222A3D"/>
    <w:rsid w:val="7126006A"/>
    <w:rsid w:val="71ED149F"/>
    <w:rsid w:val="72351DF2"/>
    <w:rsid w:val="7242629B"/>
    <w:rsid w:val="72C4300A"/>
    <w:rsid w:val="7355104B"/>
    <w:rsid w:val="73F40343"/>
    <w:rsid w:val="74044261"/>
    <w:rsid w:val="748F3935"/>
    <w:rsid w:val="78D4738E"/>
    <w:rsid w:val="78D54552"/>
    <w:rsid w:val="79A12E3B"/>
    <w:rsid w:val="7A551E16"/>
    <w:rsid w:val="7A5A4DC1"/>
    <w:rsid w:val="7B4226FD"/>
    <w:rsid w:val="7C0F3E4E"/>
    <w:rsid w:val="7C7D78EE"/>
    <w:rsid w:val="7E695E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3">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36"/>
    <w:qFormat/>
    <w:uiPriority w:val="0"/>
    <w:pPr>
      <w:keepNext/>
      <w:keepLines/>
      <w:spacing w:line="416" w:lineRule="auto"/>
      <w:outlineLvl w:val="2"/>
    </w:pPr>
    <w:rPr>
      <w:rFonts w:ascii="Calibri" w:hAnsi="Calibri"/>
      <w:b/>
      <w:bCs/>
      <w:sz w:val="24"/>
      <w:szCs w:val="32"/>
    </w:rPr>
  </w:style>
  <w:style w:type="paragraph" w:styleId="6">
    <w:name w:val="heading 4"/>
    <w:basedOn w:val="1"/>
    <w:next w:val="1"/>
    <w:link w:val="34"/>
    <w:qFormat/>
    <w:uiPriority w:val="0"/>
    <w:pPr>
      <w:keepNext/>
      <w:keepLines/>
      <w:spacing w:before="280" w:after="290" w:line="376" w:lineRule="auto"/>
      <w:outlineLvl w:val="3"/>
    </w:pPr>
    <w:rPr>
      <w:rFonts w:ascii="Arial" w:hAnsi="Arial" w:eastAsia="黑体"/>
      <w:b/>
      <w:bCs/>
      <w:szCs w:val="28"/>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9"/>
    <w:qFormat/>
    <w:uiPriority w:val="0"/>
    <w:pPr>
      <w:spacing w:after="120" w:line="440" w:lineRule="exact"/>
      <w:jc w:val="left"/>
    </w:pPr>
    <w:rPr>
      <w:rFonts w:asciiTheme="minorHAnsi" w:hAnsiTheme="minorHAnsi" w:eastAsiaTheme="minorEastAsia" w:cstheme="minorBidi"/>
      <w:sz w:val="21"/>
      <w:szCs w:val="24"/>
    </w:rPr>
  </w:style>
  <w:style w:type="paragraph" w:styleId="7">
    <w:name w:val="Normal Indent"/>
    <w:basedOn w:val="1"/>
    <w:next w:val="1"/>
    <w:qFormat/>
    <w:uiPriority w:val="0"/>
    <w:pPr>
      <w:ind w:firstLine="420"/>
    </w:pPr>
    <w:rPr>
      <w:szCs w:val="24"/>
    </w:rPr>
  </w:style>
  <w:style w:type="paragraph" w:styleId="8">
    <w:name w:val="annotation text"/>
    <w:basedOn w:val="1"/>
    <w:link w:val="37"/>
    <w:qFormat/>
    <w:uiPriority w:val="0"/>
    <w:pPr>
      <w:spacing w:line="440" w:lineRule="exact"/>
      <w:jc w:val="left"/>
    </w:pPr>
    <w:rPr>
      <w:rFonts w:asciiTheme="minorHAnsi" w:hAnsiTheme="minorHAnsi" w:eastAsiaTheme="minorEastAsia" w:cstheme="minorBidi"/>
      <w:sz w:val="24"/>
      <w:szCs w:val="24"/>
    </w:rPr>
  </w:style>
  <w:style w:type="paragraph" w:styleId="9">
    <w:name w:val="Body Text 3"/>
    <w:basedOn w:val="1"/>
    <w:link w:val="38"/>
    <w:qFormat/>
    <w:uiPriority w:val="0"/>
    <w:pPr>
      <w:spacing w:after="120" w:line="440" w:lineRule="exact"/>
      <w:jc w:val="left"/>
    </w:pPr>
    <w:rPr>
      <w:rFonts w:asciiTheme="minorHAnsi" w:hAnsiTheme="minorHAnsi" w:eastAsiaTheme="minorEastAsia" w:cstheme="minorBidi"/>
      <w:sz w:val="16"/>
      <w:szCs w:val="16"/>
    </w:rPr>
  </w:style>
  <w:style w:type="paragraph" w:styleId="10">
    <w:name w:val="Body Text Indent"/>
    <w:basedOn w:val="1"/>
    <w:link w:val="40"/>
    <w:qFormat/>
    <w:uiPriority w:val="0"/>
    <w:pPr>
      <w:spacing w:after="120" w:line="440" w:lineRule="exact"/>
      <w:ind w:left="420" w:leftChars="200"/>
      <w:jc w:val="left"/>
    </w:pPr>
    <w:rPr>
      <w:rFonts w:asciiTheme="minorHAnsi" w:hAnsiTheme="minorHAnsi" w:eastAsiaTheme="minorEastAsia" w:cstheme="minorBidi"/>
      <w:sz w:val="24"/>
      <w:szCs w:val="24"/>
    </w:rPr>
  </w:style>
  <w:style w:type="paragraph" w:styleId="11">
    <w:name w:val="toc 3"/>
    <w:basedOn w:val="1"/>
    <w:next w:val="1"/>
    <w:qFormat/>
    <w:uiPriority w:val="39"/>
    <w:pPr>
      <w:ind w:left="840" w:leftChars="400"/>
    </w:pPr>
    <w:rPr>
      <w:szCs w:val="24"/>
    </w:rPr>
  </w:style>
  <w:style w:type="paragraph" w:styleId="12">
    <w:name w:val="Plain Text"/>
    <w:basedOn w:val="1"/>
    <w:link w:val="41"/>
    <w:qFormat/>
    <w:uiPriority w:val="0"/>
    <w:rPr>
      <w:rFonts w:hint="eastAsia" w:ascii="宋体" w:hAnsi="Courier New"/>
      <w:szCs w:val="20"/>
    </w:rPr>
  </w:style>
  <w:style w:type="paragraph" w:styleId="13">
    <w:name w:val="Date"/>
    <w:basedOn w:val="1"/>
    <w:next w:val="1"/>
    <w:link w:val="42"/>
    <w:qFormat/>
    <w:uiPriority w:val="0"/>
    <w:pPr>
      <w:ind w:left="100" w:leftChars="2500"/>
    </w:pPr>
    <w:rPr>
      <w:rFonts w:asciiTheme="minorHAnsi" w:hAnsiTheme="minorHAnsi" w:eastAsiaTheme="minorEastAsia" w:cstheme="minorBidi"/>
      <w:sz w:val="21"/>
      <w:szCs w:val="24"/>
    </w:rPr>
  </w:style>
  <w:style w:type="paragraph" w:styleId="14">
    <w:name w:val="Body Text Indent 2"/>
    <w:basedOn w:val="1"/>
    <w:link w:val="43"/>
    <w:qFormat/>
    <w:uiPriority w:val="0"/>
    <w:pPr>
      <w:spacing w:line="440" w:lineRule="exact"/>
      <w:ind w:firstLine="570"/>
      <w:jc w:val="left"/>
    </w:pPr>
    <w:rPr>
      <w:rFonts w:ascii="宋体" w:hAnsi="宋体" w:eastAsiaTheme="minorEastAsia" w:cstheme="minorBidi"/>
      <w:sz w:val="24"/>
    </w:rPr>
  </w:style>
  <w:style w:type="paragraph" w:styleId="15">
    <w:name w:val="Balloon Text"/>
    <w:basedOn w:val="1"/>
    <w:link w:val="44"/>
    <w:qFormat/>
    <w:uiPriority w:val="0"/>
    <w:pPr>
      <w:spacing w:line="440" w:lineRule="exact"/>
      <w:jc w:val="left"/>
    </w:pPr>
    <w:rPr>
      <w:rFonts w:asciiTheme="minorHAnsi" w:hAnsiTheme="minorHAnsi" w:eastAsiaTheme="minorEastAsia" w:cstheme="minorBidi"/>
      <w:sz w:val="18"/>
      <w:szCs w:val="18"/>
    </w:rPr>
  </w:style>
  <w:style w:type="paragraph" w:styleId="16">
    <w:name w:val="footer"/>
    <w:basedOn w:val="1"/>
    <w:link w:val="45"/>
    <w:unhideWhenUsed/>
    <w:qFormat/>
    <w:uiPriority w:val="99"/>
    <w:pPr>
      <w:tabs>
        <w:tab w:val="center" w:pos="4153"/>
        <w:tab w:val="right" w:pos="8306"/>
      </w:tabs>
      <w:jc w:val="left"/>
    </w:pPr>
    <w:rPr>
      <w:sz w:val="18"/>
      <w:szCs w:val="18"/>
    </w:rPr>
  </w:style>
  <w:style w:type="paragraph" w:styleId="17">
    <w:name w:val="header"/>
    <w:basedOn w:val="1"/>
    <w:link w:val="46"/>
    <w:unhideWhenUsed/>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style>
  <w:style w:type="paragraph" w:styleId="19">
    <w:name w:val="toc 2"/>
    <w:basedOn w:val="1"/>
    <w:next w:val="1"/>
    <w:qFormat/>
    <w:uiPriority w:val="0"/>
    <w:pPr>
      <w:ind w:left="420" w:leftChars="200"/>
    </w:pPr>
  </w:style>
  <w:style w:type="paragraph" w:styleId="2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2">
    <w:name w:val="annotation subject"/>
    <w:basedOn w:val="8"/>
    <w:next w:val="8"/>
    <w:link w:val="71"/>
    <w:semiHidden/>
    <w:unhideWhenUsed/>
    <w:qFormat/>
    <w:uiPriority w:val="99"/>
    <w:pPr>
      <w:spacing w:line="240" w:lineRule="auto"/>
    </w:pPr>
    <w:rPr>
      <w:rFonts w:ascii="Times New Roman" w:hAnsi="Times New Roman" w:eastAsia="仿宋_GB2312" w:cs="Times New Roman"/>
      <w:b/>
      <w:bCs/>
      <w:sz w:val="32"/>
      <w:szCs w:val="22"/>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5">
    <w:name w:val="Table Grid 1"/>
    <w:basedOn w:val="23"/>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7">
    <w:name w:val="Strong"/>
    <w:basedOn w:val="26"/>
    <w:qFormat/>
    <w:uiPriority w:val="22"/>
    <w:rPr>
      <w:u w:val="none"/>
    </w:rPr>
  </w:style>
  <w:style w:type="character" w:styleId="28">
    <w:name w:val="page number"/>
    <w:basedOn w:val="26"/>
    <w:qFormat/>
    <w:uiPriority w:val="0"/>
  </w:style>
  <w:style w:type="character" w:styleId="29">
    <w:name w:val="FollowedHyperlink"/>
    <w:unhideWhenUsed/>
    <w:qFormat/>
    <w:uiPriority w:val="99"/>
    <w:rPr>
      <w:color w:val="954F72"/>
      <w:u w:val="single"/>
    </w:rPr>
  </w:style>
  <w:style w:type="character" w:styleId="30">
    <w:name w:val="Emphasis"/>
    <w:basedOn w:val="26"/>
    <w:qFormat/>
    <w:uiPriority w:val="20"/>
    <w:rPr>
      <w:u w:val="none"/>
    </w:rPr>
  </w:style>
  <w:style w:type="character" w:styleId="31">
    <w:name w:val="Hyperlink"/>
    <w:basedOn w:val="26"/>
    <w:unhideWhenUsed/>
    <w:qFormat/>
    <w:uiPriority w:val="99"/>
    <w:rPr>
      <w:color w:val="0000FF" w:themeColor="hyperlink"/>
      <w:u w:val="single"/>
      <w14:textFill>
        <w14:solidFill>
          <w14:schemeClr w14:val="hlink"/>
        </w14:solidFill>
      </w14:textFill>
    </w:rPr>
  </w:style>
  <w:style w:type="character" w:styleId="32">
    <w:name w:val="annotation reference"/>
    <w:qFormat/>
    <w:uiPriority w:val="0"/>
    <w:rPr>
      <w:sz w:val="21"/>
      <w:szCs w:val="21"/>
    </w:rPr>
  </w:style>
  <w:style w:type="character" w:customStyle="1" w:styleId="33">
    <w:name w:val="标题 1 Char"/>
    <w:basedOn w:val="26"/>
    <w:link w:val="3"/>
    <w:qFormat/>
    <w:uiPriority w:val="0"/>
    <w:rPr>
      <w:rFonts w:ascii="Times New Roman" w:hAnsi="Times New Roman" w:eastAsia="仿宋_GB2312" w:cs="Times New Roman"/>
      <w:b/>
      <w:bCs/>
      <w:kern w:val="44"/>
      <w:sz w:val="44"/>
      <w:szCs w:val="44"/>
    </w:rPr>
  </w:style>
  <w:style w:type="character" w:customStyle="1" w:styleId="34">
    <w:name w:val="标题 4 Char"/>
    <w:basedOn w:val="26"/>
    <w:link w:val="6"/>
    <w:qFormat/>
    <w:uiPriority w:val="0"/>
    <w:rPr>
      <w:rFonts w:ascii="Arial" w:hAnsi="Arial" w:eastAsia="黑体" w:cs="Times New Roman"/>
      <w:b/>
      <w:bCs/>
      <w:sz w:val="28"/>
      <w:szCs w:val="28"/>
    </w:rPr>
  </w:style>
  <w:style w:type="character" w:customStyle="1" w:styleId="35">
    <w:name w:val="标题 2 Char"/>
    <w:link w:val="4"/>
    <w:qFormat/>
    <w:uiPriority w:val="0"/>
    <w:rPr>
      <w:rFonts w:ascii="Arial" w:hAnsi="Arial" w:eastAsia="黑体" w:cs="Times New Roman"/>
      <w:b/>
      <w:bCs/>
      <w:sz w:val="32"/>
      <w:szCs w:val="32"/>
    </w:rPr>
  </w:style>
  <w:style w:type="character" w:customStyle="1" w:styleId="36">
    <w:name w:val="标题 3 Char"/>
    <w:basedOn w:val="26"/>
    <w:link w:val="5"/>
    <w:qFormat/>
    <w:uiPriority w:val="0"/>
    <w:rPr>
      <w:rFonts w:ascii="Calibri" w:hAnsi="Calibri" w:eastAsia="宋体" w:cs="Times New Roman"/>
      <w:b/>
      <w:bCs/>
      <w:sz w:val="24"/>
      <w:szCs w:val="32"/>
    </w:rPr>
  </w:style>
  <w:style w:type="character" w:customStyle="1" w:styleId="37">
    <w:name w:val="批注文字 Char"/>
    <w:link w:val="8"/>
    <w:qFormat/>
    <w:uiPriority w:val="0"/>
    <w:rPr>
      <w:sz w:val="24"/>
      <w:szCs w:val="24"/>
    </w:rPr>
  </w:style>
  <w:style w:type="character" w:customStyle="1" w:styleId="38">
    <w:name w:val="正文文本 3 Char"/>
    <w:link w:val="9"/>
    <w:qFormat/>
    <w:uiPriority w:val="0"/>
    <w:rPr>
      <w:sz w:val="16"/>
      <w:szCs w:val="16"/>
    </w:rPr>
  </w:style>
  <w:style w:type="character" w:customStyle="1" w:styleId="39">
    <w:name w:val="正文文本 Char"/>
    <w:link w:val="2"/>
    <w:qFormat/>
    <w:uiPriority w:val="0"/>
    <w:rPr>
      <w:szCs w:val="24"/>
    </w:rPr>
  </w:style>
  <w:style w:type="character" w:customStyle="1" w:styleId="40">
    <w:name w:val="正文文本缩进 Char"/>
    <w:link w:val="10"/>
    <w:qFormat/>
    <w:uiPriority w:val="0"/>
    <w:rPr>
      <w:sz w:val="24"/>
      <w:szCs w:val="24"/>
    </w:rPr>
  </w:style>
  <w:style w:type="character" w:customStyle="1" w:styleId="41">
    <w:name w:val="纯文本 Char"/>
    <w:basedOn w:val="26"/>
    <w:link w:val="12"/>
    <w:qFormat/>
    <w:uiPriority w:val="0"/>
    <w:rPr>
      <w:rFonts w:ascii="宋体" w:hAnsi="Courier New" w:eastAsia="宋体" w:cs="Times New Roman"/>
      <w:sz w:val="28"/>
      <w:szCs w:val="20"/>
    </w:rPr>
  </w:style>
  <w:style w:type="character" w:customStyle="1" w:styleId="42">
    <w:name w:val="日期 Char"/>
    <w:link w:val="13"/>
    <w:qFormat/>
    <w:uiPriority w:val="0"/>
    <w:rPr>
      <w:szCs w:val="24"/>
    </w:rPr>
  </w:style>
  <w:style w:type="character" w:customStyle="1" w:styleId="43">
    <w:name w:val="正文文本缩进 2 Char"/>
    <w:link w:val="14"/>
    <w:qFormat/>
    <w:uiPriority w:val="0"/>
    <w:rPr>
      <w:rFonts w:ascii="宋体" w:hAnsi="宋体"/>
      <w:sz w:val="24"/>
    </w:rPr>
  </w:style>
  <w:style w:type="character" w:customStyle="1" w:styleId="44">
    <w:name w:val="批注框文本 Char"/>
    <w:link w:val="15"/>
    <w:qFormat/>
    <w:uiPriority w:val="0"/>
    <w:rPr>
      <w:sz w:val="18"/>
      <w:szCs w:val="18"/>
    </w:rPr>
  </w:style>
  <w:style w:type="character" w:customStyle="1" w:styleId="45">
    <w:name w:val="页脚 Char"/>
    <w:basedOn w:val="26"/>
    <w:link w:val="16"/>
    <w:qFormat/>
    <w:uiPriority w:val="99"/>
    <w:rPr>
      <w:rFonts w:ascii="Times New Roman" w:hAnsi="Times New Roman" w:eastAsia="仿宋_GB2312" w:cs="Times New Roman"/>
      <w:sz w:val="18"/>
      <w:szCs w:val="18"/>
    </w:rPr>
  </w:style>
  <w:style w:type="character" w:customStyle="1" w:styleId="46">
    <w:name w:val="页眉 Char"/>
    <w:basedOn w:val="26"/>
    <w:link w:val="17"/>
    <w:qFormat/>
    <w:uiPriority w:val="0"/>
    <w:rPr>
      <w:rFonts w:ascii="Times New Roman" w:hAnsi="Times New Roman" w:eastAsia="仿宋_GB2312" w:cs="Times New Roman"/>
      <w:sz w:val="18"/>
      <w:szCs w:val="18"/>
    </w:rPr>
  </w:style>
  <w:style w:type="paragraph" w:customStyle="1" w:styleId="47">
    <w:name w:val="二级标题"/>
    <w:basedOn w:val="1"/>
    <w:next w:val="1"/>
    <w:qFormat/>
    <w:uiPriority w:val="0"/>
    <w:pPr>
      <w:overflowPunct w:val="0"/>
      <w:outlineLvl w:val="0"/>
    </w:pPr>
    <w:rPr>
      <w:b/>
      <w:szCs w:val="32"/>
    </w:rPr>
  </w:style>
  <w:style w:type="paragraph" w:customStyle="1" w:styleId="48">
    <w:name w:val="中等深浅网格 1 - 着色 21"/>
    <w:basedOn w:val="1"/>
    <w:qFormat/>
    <w:uiPriority w:val="0"/>
    <w:pPr>
      <w:ind w:firstLine="420"/>
    </w:pPr>
    <w:rPr>
      <w:rFonts w:ascii="Calibri" w:hAnsi="Calibri"/>
      <w:sz w:val="21"/>
    </w:rPr>
  </w:style>
  <w:style w:type="paragraph" w:customStyle="1" w:styleId="49">
    <w:name w:val="列出段落1"/>
    <w:basedOn w:val="1"/>
    <w:qFormat/>
    <w:uiPriority w:val="99"/>
    <w:pPr>
      <w:ind w:firstLine="420"/>
    </w:pPr>
  </w:style>
  <w:style w:type="paragraph" w:customStyle="1" w:styleId="5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1">
    <w:name w:val="三级标题"/>
    <w:basedOn w:val="1"/>
    <w:next w:val="1"/>
    <w:qFormat/>
    <w:uiPriority w:val="0"/>
    <w:pPr>
      <w:overflowPunct w:val="0"/>
    </w:pPr>
    <w:rPr>
      <w:rFonts w:ascii="宋体" w:hAnsi="宋体" w:cs="宋体"/>
      <w:b/>
    </w:rPr>
  </w:style>
  <w:style w:type="character" w:customStyle="1" w:styleId="52">
    <w:name w:val="正文文本 字符1"/>
    <w:qFormat/>
    <w:uiPriority w:val="0"/>
    <w:rPr>
      <w:kern w:val="2"/>
      <w:sz w:val="21"/>
      <w:szCs w:val="24"/>
    </w:rPr>
  </w:style>
  <w:style w:type="paragraph" w:customStyle="1" w:styleId="53">
    <w:name w:val="表格内容"/>
    <w:basedOn w:val="1"/>
    <w:next w:val="1"/>
    <w:qFormat/>
    <w:uiPriority w:val="0"/>
    <w:pPr>
      <w:ind w:firstLine="0" w:firstLineChars="0"/>
    </w:pPr>
    <w:rPr>
      <w:sz w:val="21"/>
    </w:rPr>
  </w:style>
  <w:style w:type="character" w:customStyle="1" w:styleId="54">
    <w:name w:val="表内容行距 Char"/>
    <w:basedOn w:val="26"/>
    <w:link w:val="55"/>
    <w:qFormat/>
    <w:locked/>
    <w:uiPriority w:val="0"/>
    <w:rPr>
      <w:rFonts w:ascii="方正书宋简体" w:eastAsia="方正书宋简体"/>
      <w:szCs w:val="21"/>
    </w:rPr>
  </w:style>
  <w:style w:type="paragraph" w:customStyle="1" w:styleId="55">
    <w:name w:val="表内容行距"/>
    <w:basedOn w:val="1"/>
    <w:link w:val="54"/>
    <w:qFormat/>
    <w:uiPriority w:val="0"/>
    <w:pPr>
      <w:spacing w:line="340" w:lineRule="exact"/>
      <w:ind w:firstLine="100" w:firstLineChars="100"/>
      <w:jc w:val="left"/>
    </w:pPr>
    <w:rPr>
      <w:rFonts w:ascii="方正书宋简体" w:hAnsiTheme="minorHAnsi" w:cstheme="minorBidi"/>
      <w:sz w:val="21"/>
      <w:szCs w:val="21"/>
    </w:rPr>
  </w:style>
  <w:style w:type="character" w:customStyle="1" w:styleId="56">
    <w:name w:val="正文文本缩进 字符1"/>
    <w:basedOn w:val="26"/>
    <w:semiHidden/>
    <w:qFormat/>
    <w:uiPriority w:val="99"/>
    <w:rPr>
      <w:rFonts w:ascii="Times New Roman" w:hAnsi="Times New Roman" w:eastAsia="仿宋_GB2312" w:cs="Times New Roman"/>
      <w:sz w:val="32"/>
    </w:rPr>
  </w:style>
  <w:style w:type="paragraph" w:customStyle="1" w:styleId="57">
    <w:name w:val="样式 标题 1 + 三号 段前: 7.8 磅 段后: 7.8 磅"/>
    <w:basedOn w:val="3"/>
    <w:qFormat/>
    <w:uiPriority w:val="0"/>
    <w:pPr>
      <w:spacing w:before="156" w:after="156" w:line="440" w:lineRule="exact"/>
      <w:jc w:val="center"/>
      <w:outlineLvl w:val="1"/>
    </w:pPr>
    <w:rPr>
      <w:rFonts w:eastAsia="黑体" w:cs="宋体"/>
      <w:sz w:val="32"/>
      <w:szCs w:val="20"/>
    </w:rPr>
  </w:style>
  <w:style w:type="character" w:customStyle="1" w:styleId="58">
    <w:name w:val="正文文本 3 字符1"/>
    <w:basedOn w:val="26"/>
    <w:semiHidden/>
    <w:qFormat/>
    <w:uiPriority w:val="99"/>
    <w:rPr>
      <w:rFonts w:ascii="Times New Roman" w:hAnsi="Times New Roman" w:eastAsia="仿宋_GB2312" w:cs="Times New Roman"/>
      <w:sz w:val="16"/>
      <w:szCs w:val="16"/>
    </w:rPr>
  </w:style>
  <w:style w:type="character" w:customStyle="1" w:styleId="59">
    <w:name w:val="正文文本 字符2"/>
    <w:basedOn w:val="26"/>
    <w:semiHidden/>
    <w:qFormat/>
    <w:uiPriority w:val="99"/>
    <w:rPr>
      <w:rFonts w:ascii="Times New Roman" w:hAnsi="Times New Roman" w:eastAsia="仿宋_GB2312" w:cs="Times New Roman"/>
      <w:sz w:val="32"/>
    </w:rPr>
  </w:style>
  <w:style w:type="character" w:customStyle="1" w:styleId="60">
    <w:name w:val="批注文字 字符1"/>
    <w:basedOn w:val="26"/>
    <w:semiHidden/>
    <w:qFormat/>
    <w:uiPriority w:val="99"/>
    <w:rPr>
      <w:rFonts w:ascii="Times New Roman" w:hAnsi="Times New Roman" w:eastAsia="仿宋_GB2312" w:cs="Times New Roman"/>
      <w:sz w:val="32"/>
    </w:rPr>
  </w:style>
  <w:style w:type="paragraph" w:customStyle="1" w:styleId="61">
    <w:name w:val="图中文字"/>
    <w:qFormat/>
    <w:uiPriority w:val="0"/>
    <w:pPr>
      <w:jc w:val="center"/>
    </w:pPr>
    <w:rPr>
      <w:rFonts w:ascii="仿宋_GB2312" w:hAnsi="Times New Roman" w:eastAsia="宋体" w:cs="Times New Roman"/>
      <w:kern w:val="2"/>
      <w:sz w:val="21"/>
      <w:szCs w:val="24"/>
      <w:lang w:val="en-US" w:eastAsia="zh-CN" w:bidi="ar-SA"/>
    </w:rPr>
  </w:style>
  <w:style w:type="character" w:customStyle="1" w:styleId="62">
    <w:name w:val="正文文本缩进 2 字符1"/>
    <w:basedOn w:val="26"/>
    <w:semiHidden/>
    <w:qFormat/>
    <w:uiPriority w:val="99"/>
    <w:rPr>
      <w:rFonts w:ascii="Times New Roman" w:hAnsi="Times New Roman" w:eastAsia="仿宋_GB2312" w:cs="Times New Roman"/>
      <w:sz w:val="32"/>
    </w:rPr>
  </w:style>
  <w:style w:type="paragraph" w:customStyle="1" w:styleId="63">
    <w:name w:val="正文1"/>
    <w:basedOn w:val="1"/>
    <w:next w:val="1"/>
    <w:qFormat/>
    <w:uiPriority w:val="0"/>
    <w:pPr>
      <w:jc w:val="left"/>
    </w:pPr>
    <w:rPr>
      <w:sz w:val="24"/>
      <w:szCs w:val="24"/>
    </w:rPr>
  </w:style>
  <w:style w:type="paragraph" w:customStyle="1" w:styleId="64">
    <w:name w:val="正文-非表格"/>
    <w:basedOn w:val="1"/>
    <w:qFormat/>
    <w:uiPriority w:val="0"/>
    <w:pPr>
      <w:tabs>
        <w:tab w:val="left" w:pos="327"/>
        <w:tab w:val="left" w:pos="8185"/>
      </w:tabs>
      <w:spacing w:line="300" w:lineRule="auto"/>
    </w:pPr>
    <w:rPr>
      <w:rFonts w:hint="eastAsia" w:ascii="宋体" w:hAnsi="宋体"/>
      <w:sz w:val="24"/>
      <w:szCs w:val="24"/>
    </w:rPr>
  </w:style>
  <w:style w:type="character" w:customStyle="1" w:styleId="65">
    <w:name w:val="批注框文本 字符1"/>
    <w:basedOn w:val="26"/>
    <w:semiHidden/>
    <w:qFormat/>
    <w:uiPriority w:val="99"/>
    <w:rPr>
      <w:rFonts w:ascii="Times New Roman" w:hAnsi="Times New Roman" w:eastAsia="仿宋_GB2312" w:cs="Times New Roman"/>
      <w:sz w:val="18"/>
      <w:szCs w:val="18"/>
    </w:rPr>
  </w:style>
  <w:style w:type="paragraph" w:customStyle="1" w:styleId="66">
    <w:name w:val="样式1"/>
    <w:basedOn w:val="1"/>
    <w:qFormat/>
    <w:uiPriority w:val="0"/>
    <w:pPr>
      <w:spacing w:line="400" w:lineRule="exact"/>
      <w:jc w:val="left"/>
    </w:pPr>
    <w:rPr>
      <w:sz w:val="24"/>
      <w:szCs w:val="24"/>
    </w:rPr>
  </w:style>
  <w:style w:type="table" w:customStyle="1" w:styleId="67">
    <w:name w:val="网格型1"/>
    <w:basedOn w:val="2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8">
    <w:name w:val="日期 字符1"/>
    <w:basedOn w:val="26"/>
    <w:qFormat/>
    <w:uiPriority w:val="0"/>
    <w:rPr>
      <w:rFonts w:ascii="Times New Roman" w:hAnsi="Times New Roman" w:eastAsia="仿宋_GB2312" w:cs="Times New Roman"/>
      <w:sz w:val="32"/>
    </w:rPr>
  </w:style>
  <w:style w:type="paragraph" w:customStyle="1" w:styleId="69">
    <w:name w:val="Table Paragraph"/>
    <w:basedOn w:val="1"/>
    <w:qFormat/>
    <w:uiPriority w:val="1"/>
    <w:pPr>
      <w:spacing w:before="8"/>
      <w:ind w:left="40"/>
      <w:jc w:val="center"/>
    </w:pPr>
    <w:rPr>
      <w:rFonts w:ascii="宋体" w:hAnsi="宋体" w:cs="宋体"/>
      <w:szCs w:val="24"/>
      <w:lang w:val="zh-CN" w:bidi="zh-CN"/>
    </w:rPr>
  </w:style>
  <w:style w:type="table" w:customStyle="1" w:styleId="70">
    <w:name w:val="网格型11"/>
    <w:basedOn w:val="2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
    <w:name w:val="批注主题 Char"/>
    <w:basedOn w:val="37"/>
    <w:link w:val="22"/>
    <w:semiHidden/>
    <w:qFormat/>
    <w:uiPriority w:val="99"/>
    <w:rPr>
      <w:rFonts w:ascii="Times New Roman" w:hAnsi="Times New Roman" w:eastAsia="仿宋_GB2312" w:cs="Times New Roman"/>
      <w:b/>
      <w:bCs/>
      <w:kern w:val="2"/>
      <w:sz w:val="32"/>
      <w:szCs w:val="22"/>
    </w:rPr>
  </w:style>
  <w:style w:type="paragraph" w:customStyle="1" w:styleId="72">
    <w:name w:val="一级标题"/>
    <w:basedOn w:val="1"/>
    <w:next w:val="1"/>
    <w:qFormat/>
    <w:uiPriority w:val="0"/>
    <w:pPr>
      <w:overflowPunct w:val="0"/>
      <w:outlineLvl w:val="0"/>
    </w:pPr>
    <w:rPr>
      <w:rFonts w:eastAsia="黑体"/>
      <w:szCs w:val="32"/>
    </w:rPr>
  </w:style>
  <w:style w:type="paragraph" w:customStyle="1" w:styleId="73">
    <w:name w:val="表格名"/>
    <w:basedOn w:val="1"/>
    <w:next w:val="1"/>
    <w:qFormat/>
    <w:uiPriority w:val="0"/>
    <w:pPr>
      <w:overflowPunct w:val="0"/>
      <w:jc w:val="center"/>
    </w:pPr>
    <w:rPr>
      <w:rFonts w:ascii="宋体" w:hAnsi="宋体" w:cs="宋体"/>
      <w:b/>
      <w:sz w:val="21"/>
      <w:szCs w:val="21"/>
    </w:rPr>
  </w:style>
  <w:style w:type="paragraph" w:customStyle="1" w:styleId="74">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5">
    <w:name w:val="font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6">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7">
    <w:name w:val="xl9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78">
    <w:name w:val="xl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9">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0">
    <w:name w:val="xl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1">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000000"/>
      <w:kern w:val="0"/>
      <w:sz w:val="15"/>
      <w:szCs w:val="15"/>
    </w:rPr>
  </w:style>
  <w:style w:type="paragraph" w:customStyle="1" w:styleId="82">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3">
    <w:name w:val="xl10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4">
    <w:name w:val="xl101"/>
    <w:basedOn w:val="1"/>
    <w:qFormat/>
    <w:uiPriority w:val="0"/>
    <w:pPr>
      <w:widowControl/>
      <w:pBdr>
        <w:top w:val="single" w:color="auto" w:sz="4" w:space="0"/>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5">
    <w:name w:val="xl102"/>
    <w:basedOn w:val="1"/>
    <w:qFormat/>
    <w:uiPriority w:val="0"/>
    <w:pPr>
      <w:widowControl/>
      <w:pBdr>
        <w:top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6">
    <w:name w:val="xl103"/>
    <w:basedOn w:val="1"/>
    <w:qFormat/>
    <w:uiPriority w:val="0"/>
    <w:pPr>
      <w:widowControl/>
      <w:pBdr>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7">
    <w:name w:val="xl104"/>
    <w:basedOn w:val="1"/>
    <w:qFormat/>
    <w:uiPriority w:val="0"/>
    <w:pPr>
      <w:widowControl/>
      <w:pBdr>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8">
    <w:name w:val="xl105"/>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9">
    <w:name w:val="xl106"/>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90">
    <w:name w:val="xl107"/>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1">
    <w:name w:val="xl108"/>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2">
    <w:name w:val="xl10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3">
    <w:name w:val="xl110"/>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4">
    <w:name w:val="xl111"/>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5">
    <w:name w:val="xl11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character" w:customStyle="1" w:styleId="96">
    <w:name w:val="font31"/>
    <w:basedOn w:val="26"/>
    <w:qFormat/>
    <w:uiPriority w:val="0"/>
    <w:rPr>
      <w:rFonts w:hint="eastAsia" w:ascii="宋体" w:hAnsi="宋体" w:eastAsia="宋体" w:cs="宋体"/>
      <w:color w:val="000000"/>
      <w:sz w:val="18"/>
      <w:szCs w:val="18"/>
      <w:u w:val="none"/>
    </w:rPr>
  </w:style>
  <w:style w:type="character" w:customStyle="1" w:styleId="97">
    <w:name w:val="cur"/>
    <w:basedOn w:val="26"/>
    <w:qFormat/>
    <w:uiPriority w:val="0"/>
    <w:rPr>
      <w:color w:val="FFFFFF"/>
      <w:shd w:val="clear" w:color="auto" w:fill="CCCCCC"/>
    </w:rPr>
  </w:style>
  <w:style w:type="character" w:customStyle="1" w:styleId="98">
    <w:name w:val="mid"/>
    <w:basedOn w:val="26"/>
    <w:qFormat/>
    <w:uiPriority w:val="0"/>
    <w:rPr>
      <w:bdr w:val="single" w:color="CCCCCC" w:sz="6" w:space="0"/>
    </w:rPr>
  </w:style>
  <w:style w:type="table" w:customStyle="1" w:styleId="99">
    <w:name w:val="网格型2"/>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0">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1689</Words>
  <Characters>9632</Characters>
  <Lines>80</Lines>
  <Paragraphs>22</Paragraphs>
  <TotalTime>2</TotalTime>
  <ScaleCrop>false</ScaleCrop>
  <LinksUpToDate>false</LinksUpToDate>
  <CharactersWithSpaces>11299</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2019-08-25T15:29:00Z</dcterms:created>
  <dc:creator>wl669006</dc:creator>
  <cp:lastModifiedBy>L .cf</cp:lastModifiedBy>
  <cp:lastPrinted>2019-08-24T09:20:00Z</cp:lastPrinted>
  <dcterms:modified xsi:type="dcterms:W3CDTF">2022-12-13T02:56:18Z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25E0396F22CB41B7838E76B6925C215F</vt:lpwstr>
  </property>
  <property fmtid="{D5CDD505-2E9C-101B-9397-08002B2CF9AE}" pid="4" name="KSOSaveFontToCloudKey">
    <vt:lpwstr>253990167_embed</vt:lpwstr>
  </property>
</Properties>
</file>