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</w:rPr>
        <w:t>绍兴市中等专业学校扩建校区数字广播设备购置项目方案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一、项目概况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（一）项目名称。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绍兴市中等专业学校扩建校区数字广播设备购置项目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（二）项目性质：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新建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（三）项目建设单位及负责人。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绍兴市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中等专业学校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倪国标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（四）项目主要建设内容、预期绩效。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主要建设内容：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购置数字功放2台，UPS1台、管理终端1台、实训室网络音箱45台 、过道网络音箱46台、场外网络音柱21台、24口交换机3台、48口交换机4台、安装线材1批、配件耗材及人工1批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预期绩效：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本项目的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是扩建校区实训室、楼层过道、场外区域广播音响的基本需求，为师生的工作、学习提供必备的教学所需。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本项目的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是学校正常教育、教学开展的基本需求，升旗仪式、课间操、眼保健操、广播讲话、业余广播节目等校园活动的必需载体。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本项目的实施，为师生提供了优良的音频体验，在一定程度上提升了学校教学质量与育人环境。</w:t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总投资经费及资金来源。 总投资经费：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31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万元，资金来源：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学校2022年行政预算。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项目必要性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（一）项目提出的背景、依据。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学校扩建工程竣工，总投资15000万元，建筑面积29999㎡，两幢教学实训楼（理实一体教学楼）、一幢食堂宿舍楼和配电房，满足大约50个班级，2250名学生的教学需求。教学实训楼（理实一体教学楼）作为机械电气系、生物化工系的教学场所，需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配套实训室、楼层过道、场外等需要配套视数字广播系统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（二）项目建设的必要性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579" w:firstLineChars="207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其必要性表现在以下几个方面。</w:t>
      </w:r>
    </w:p>
    <w:p>
      <w:pPr>
        <w:spacing w:before="156" w:beforeLines="50" w:after="156" w:afterLines="50" w:line="360" w:lineRule="auto"/>
        <w:ind w:firstLine="565" w:firstLineChars="202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1. 学校扩建工程竣工，实训室、楼层过道、场外等需要配套视数字广播系统，为师生的工作、学习提供必备的教学所需。</w:t>
      </w:r>
    </w:p>
    <w:p>
      <w:pPr>
        <w:spacing w:before="156" w:beforeLines="50" w:after="156" w:afterLines="50" w:line="360" w:lineRule="auto"/>
        <w:ind w:firstLine="565" w:firstLineChars="202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 数字广播是学校日常教育、教学开展的必需条件，是升旗仪式、课间操、眼保健操、广播讲话、业余广播节目等校园基本活动的必需载体。</w:t>
      </w:r>
    </w:p>
    <w:p>
      <w:pPr>
        <w:spacing w:before="156" w:beforeLines="50" w:after="156" w:afterLines="50" w:line="360" w:lineRule="auto"/>
        <w:ind w:firstLine="565" w:firstLineChars="202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  <w:lang w:val="en-US" w:eastAsia="zh-CN"/>
        </w:rPr>
        <w:t>鉴于以上实际情况，提出购置扩建校区数字广播设备，是对学校实际需求的基本保障。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三、需求分析与建设目标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（一）需求分析。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 据生物化工系、机械电气系上报、学校整体统计，实训室、楼层过道、场外区域广播音响。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2. </w:t>
      </w:r>
      <w:r>
        <w:rPr>
          <w:rFonts w:hint="eastAsia" w:cs="宋体"/>
          <w:sz w:val="28"/>
          <w:szCs w:val="28"/>
          <w:lang w:val="en-US" w:eastAsia="zh-CN"/>
        </w:rPr>
        <w:t>升旗仪式、课间操、眼保健操、广播讲话、业余广播节目等校园基本活动的音响控制区域不同，要注重音效、控制的灵活性、可扩展性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3. 学校的广播系统建设多期，由不同的商家实施，相互之间功能不统一，存在断层，需要整合。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（二）业务目标。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根据业务需求分析，明确项目达到的目标如下。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1.布点要求：购置实训室网络音箱45台，过道网络音箱46台，场外网络音柱21台。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2.集中控制：采用数字功放2台、UPS1台、作为集中控制管理配置。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3.综合布线与设备互联：24口交换机3台、48口交换机4台、配件耗材及人工1批，保障本项目高效实施，并与原校区的数字广播系统融合性对接。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根据以上业务目标，可以使本项目高效的实施，同时对整个学校的数字广播系统整合融合提供切实可行的方法。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（三）技术目标。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技术选型、技术优化、技术兼容等方面入手高效实现业务目标。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1．技术选型：音效、控制较灵活的设备。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2．技术优化：实现新建的数字广播统一接入学校广播台总控室。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3．技术兼容：扩建校区已有的数字广播充分融合，对老校区的数字广播有良好的整合。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四、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项目预算</w:t>
      </w:r>
    </w:p>
    <w:tbl>
      <w:tblPr>
        <w:tblStyle w:val="5"/>
        <w:tblpPr w:leftFromText="180" w:rightFromText="180" w:vertAnchor="text" w:horzAnchor="page" w:tblpX="1115" w:tblpY="775"/>
        <w:tblOverlap w:val="never"/>
        <w:tblW w:w="9703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2"/>
        <w:gridCol w:w="1022"/>
        <w:gridCol w:w="5387"/>
        <w:gridCol w:w="509"/>
        <w:gridCol w:w="468"/>
        <w:gridCol w:w="807"/>
        <w:gridCol w:w="988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53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4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总价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数字功放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产品介绍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为广播系统提供区域功率放大，适用于有多通道大功率纯后级功放需求的俱乐部、场馆、购物中心等广播系统。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产品特点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1.采用高效D类放大电路，内置高效率开关电源，使得整机效率高达85%。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2.产品内部采用合理的散热布局，使得产品即使在极其恶劣的工作环境下内部仍能保持低于55度的工作温度，大大地延长了设备的使用寿命。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3.采用1U标准19英寸工业机箱设计。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4.1通道数字功率放大器提供1路100V或4-16Ω输出端子接线扬声器。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5.不带变压器输出100V和可以切换定阻4-16Ω输出。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6.支持故障输出功能，可远程监控功放设备工作状态。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7.产品具有短路、过载、过热保护。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8.支持1通道独立电源供电功能。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9.85%高效放大器，电源损耗小，发热量小。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10.具有1通道欧式端子平衡输入，1通道欧式端子输出。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技术参数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1.额定功率输出：650W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2.额定输出：100V/4-16Ω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3.输入灵敏度(阻抗）：±385mV/20KΩ，平衡输入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4.过载源电动势：&gt;11dB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5.频率响应：80Hz~16KHz (+1, -3dB)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6.信噪比：≥85dB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7.THD：≤0.1% at 1KHz, 1/3 额定功率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8.控制：远程电源控制和故障指示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9.指示灯：信号、峰值、保护、电源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10.保护：高温、过载、短路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11.冷却：风机强制散热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12.电源供电：220V/50Hz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13.功耗：900W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14.尺寸：484×315×44mm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重量：4.1Kg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3589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7178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UPS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UPS不间断电源 SANTAK 山特 C3K 3000VA/2400W 延时10分钟 稳压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管理终端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1.CPU:I9 10900KF(10核20线程、主频3.7GHZ睿频5.3GHZ)及以上；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2.芯片组:Intel Z490高速芯片组及以上;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3.内存：16GB DDR4 2666，4个内存插槽，最大支持128G内存;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4.独立显卡：显卡：GFX NVIDIA GeForce GTX1060 6GB独立显卡；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5.硬盘：系统盘≥256G PCIe NVMe 高速SSD，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存储盘≥1TB 7200RPM SATA；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6.显示器:≥ 23.8"宽屏16:9 LED背光IPS液晶显示器;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7.接口槽位：≥2 个 PCIe 3 x16（其中1个可作为x4连接）；≥2 个 PCIe 3 x1；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 个 M.2 2230；≥2 个 M.2 2230/2280（用于WLAN和存储）；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8.1个2.5英寸硬盘托架、2个3.5英寸硬盘托架、1个超薄光驱托架、1个5.25英寸托架,及以上；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9.端口要求：前置：1 个耳机接口；2个USB3.1 Gen 2，2个USB2.0（1个快速充电），1个USB Type-C（充电）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后置：2 个 USB 3.1 Gen 2；2 个 USB 3.1 Gen 1；2 个 USB 2.0 ；1 个 RJ-45；1 个音频线路输出；1 个音频线路输入；2个DP视频接口,及以上；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10.电源≥ 500W，90%能效宽范围有源FC；含USB标准键盘、鼠标；标准塔式，机箱免工具拆卸；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11.通过工作站产品CCC认证、CECP认证；服务体系通过CCCS认证；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12.所有部件原厂5年免费保修，免费上门，免费人工第二工作日响应。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实训室网络音箱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产品介绍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适用于普通教室，多媒体教室，办公室，会议室，监狱，医院科室，地铁等场所播放录制语音文件或背景音乐节目；同时还可以作为本地广播扩音。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产品特点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1.专业一体化壁挂式音箱设计，箱体符合声音共振原理设计理念，美观大方。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2.设备采用嵌入式计算机技术和DSP音频处理技术设计。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3.内置1路网络硬件音频解码模块，支持TCP/IP、UDP，实现网络化传输16位CD音质的音频信号。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4.内置2 x 20W（MAX）的双通道数字功率放大器，一路接主音箱，一路外接到副音箱；音质非常细腻，功率强劲；具有网络音量设置。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5.内置高性能主备切换模块，断网断电主/备切换时间小于0.3秒，通网上电备/主切换时间小于0.3秒。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6.具备有1路线路（AUX）输入接口，具有独立的音量电位器控制，支持断网本地寻呼功能。同时支持缄默强度预置减少功能，支持背景伴奏预置功能。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7.可扩展2.4G无线音频模块，实现2.4G无线麦克风进行本地扩音。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8.可扩展连接蓝牙接收器实现接收蓝牙音频进行本地扩声。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9.1路100V定压信号备份输入，只有在机器无网络的状态下才切换到备份通道。避免本地信号与备份信号串扰。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10.内置2级优先设置：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1）网络报警信号优先AUX和网络背景音乐信号。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2）AUX优先网络背景音乐信号。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11.兼容路由器、交换机、网桥网关、Modem、Internet、2G、3G、4G等任意网络结构。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12.数字化产品，扩容方便，不受地理位置限制，无需增加机房管理设备，采用共网免线路施工的设计理念，安装简便。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13.支持广播系统对终端进行远程固件升级，无需到终端本地升级，减轻维护人员工作强度。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技术参数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网络接口：标准RJ45输入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 传输速率：100Mbps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支持协议：TCP/IP，UDP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音频格式：MP3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音频模式：16位CD音质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采样率：8KHz～48KHz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 AUX输入灵敏度：350mV  (非平衡）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 频率响应：80Hz～16KHz   +1/-3dB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 谐波失真：≤1%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 信噪比：＞65dB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 整机功耗：≤50W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 100V定压输入备份：有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 保护电路：过载、短路保护电路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 工作环境温度：5℃～40℃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 工作环境湿度：20%～80%相对湿度，无结露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 工作电源：～190V-240V 50Hz-60Hz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 尺寸：190 x 180 x 280mm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 重量：3.5Kg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2450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110250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过道网络音箱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1．额定功率（100V）：6W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2．额定功率（70V）：3W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3．灵敏度：92dB±3dB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4．阻抗：黑:Com红:1.7KΩ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5．频率响应：130-16KHz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6．喇叭单元：6.5"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7．防护等级：IP×5防尘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8．尺寸：200×105×276mm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9．重量：1Kg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10.材料：塑料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36800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场外网络音柱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产品介绍：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数字网络解码模块与音柱一体化设计，铝合金防水防锈外壳结构；安装在各个广播管理区域的户外立柱，用于公园、广场、街道、旅游景点等户外场所的节目播放及本地广播。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功能特点：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1.专业的一体化结构设计，良好的箱体密封性能，快速传导的全铜镀镍接地柱。符合户外恶劣环境的使用及安全要求，且符合IP54防护等级认证要求。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2.内置一路网络数字音频解码模块，支持IP/TCP、UDP、IGMP(组播)等通讯协议，实现网络化传输16位CD音质的音频信号。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3.内置数字功率放大器模块，音质细腻，功率强劲。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4.支持服务器统一授权操作管理功能，统一配置管理用户及密码功能；支持100级自定义音频优先级默音控制功能。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5.支持局域网和广域网应用，兼容路由器、交换机、网桥网关、Modem、Internet、2G、3G、4G、组播、单播等任意网络架构。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6.数字化产品，扩容方便，不受地理位置限制，无需增加机房管理设备，采用共网免线路施工的设计理念，安装简便。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7.支持现场电压过高（254V±5%），自动断电保护；当电压恢复正常，可以自动上电重新上线，增加设备使用寿命。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8.支持现场设备不接地线情况，当终端空闲时，会自动播放提示音；当正常接地后，设备才不再继续提示；可以预防户外雷电天气，不接地状态下，有概率损坏设备。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*可定制DC24V供电，以满足户外太阳能蓄电池供电需求。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技术参数：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1.网络接口：标准RJ45输入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2.支持协议：TCP/IP，UDP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3.音频格式：MP3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4.采样率：8K～48KHz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5.传输速率：100Mbps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6.音频模式：16位CD音质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7.额定功率：30W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8.最大功率：120W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9.总偕波失真：≤1%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10.频率响应：130Hz～16KHz  +1dB/-3dB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11.信噪比：≥65dB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12.防护等级：IP54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13.工作温度：-20℃～60℃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14.工作湿度：20%～80%相对湿度，无结露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15.工作电压：～220V 50Hz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16.整机功耗：≤50W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17.喇叭单元：4”×2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18.尺寸（长X宽X高）：150×145×574mm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19.重量：5.8kg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2598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54558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24口交换机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24口千兆交换机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48口交换机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Style w:val="15"/>
                <w:lang w:val="en-US" w:eastAsia="zh-CN" w:bidi="ar"/>
              </w:rPr>
              <w:t>8</w:t>
            </w:r>
            <w:r>
              <w:rPr>
                <w:rStyle w:val="16"/>
                <w:lang w:val="en-US" w:eastAsia="zh-CN" w:bidi="ar"/>
              </w:rPr>
              <w:t>口千兆交换机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光纤模块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单模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前端设备机柜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Style w:val="17"/>
                <w:lang w:val="en-US" w:eastAsia="zh-CN" w:bidi="ar"/>
              </w:rPr>
              <w:t>.8米标准机柜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连接线1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1.8米音频连接线：莲花（RCA）-莲花（RCA）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连接线2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1.8米音频连接线：莲花（RCA）-6.35话筒插头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连接线3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1.8米音频连接线：3.5（耳机插头）-双莲花（RCA）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连接线4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1.8米音频连接线：6.35话筒插头-6.35话筒插头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水晶头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六类网络水晶头6类8芯Cat6电脑网线RJ45连接器8P8C可搭配安普网线 工程级六类水晶头（100个/盒）1盒 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网线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六类网线 非屏蔽 纯铜线芯 千兆网线 工程家装专用网线 灰色 100米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7500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米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22500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室外网线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六类网线 非屏蔽 纯铜线芯 千兆网线 工程家装专用网线 灰色 100米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1800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米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7200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电源线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电源线RVVP电线电缆 国标纯铜环保 RVV3*1.5 200米 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1600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米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12芯光纤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单模 12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600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0" w:hRule="atLeast"/>
        </w:trPr>
        <w:tc>
          <w:tcPr>
            <w:tcW w:w="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耗材与</w:t>
            </w: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工费用其它辅助材料（绝缘胶布、排插等）</w:t>
            </w:r>
          </w:p>
        </w:tc>
        <w:tc>
          <w:tcPr>
            <w:tcW w:w="5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 绝缘胶布、排插、PVC管、线槽，根据项目实行包干；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 施工费用按项目设备总价5%计算。</w:t>
            </w:r>
          </w:p>
        </w:tc>
        <w:tc>
          <w:tcPr>
            <w:tcW w:w="5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000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71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新宋体" w:hAnsi="新宋体" w:eastAsia="新宋体" w:cs="新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总计：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</w:tbl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附：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 建设单位内部研讨纪要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6118860" cy="8994775"/>
            <wp:effectExtent l="0" t="0" r="15240" b="1587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9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 信息化专家论证材料。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6136005" cy="8262620"/>
            <wp:effectExtent l="0" t="0" r="17145" b="5080"/>
            <wp:docPr id="21" name="图片 21" descr="04绍兴市中等专业学校扩建校区数字广播设备购置项目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4绍兴市中等专业学校扩建校区数字广播设备购置项目A"/>
                    <pic:cNvPicPr>
                      <a:picLocks noChangeAspect="1"/>
                    </pic:cNvPicPr>
                  </pic:nvPicPr>
                  <pic:blipFill>
                    <a:blip r:embed="rId6"/>
                    <a:srcRect t="2922" b="1836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6117590" cy="8648065"/>
            <wp:effectExtent l="0" t="0" r="16510" b="635"/>
            <wp:docPr id="20" name="图片 20" descr="04绍兴市中等专业学校扩建校区数字广播设备购置项目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绍兴市中等专业学校扩建校区数字广播设备购置项目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10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0E70A"/>
    <w:multiLevelType w:val="singleLevel"/>
    <w:tmpl w:val="B6F0E70A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A34BE6A"/>
    <w:multiLevelType w:val="singleLevel"/>
    <w:tmpl w:val="6A34BE6A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9C6"/>
    <w:rsid w:val="00015312"/>
    <w:rsid w:val="00044727"/>
    <w:rsid w:val="00085874"/>
    <w:rsid w:val="00087FA7"/>
    <w:rsid w:val="000B2CDB"/>
    <w:rsid w:val="000B3C16"/>
    <w:rsid w:val="000B61E0"/>
    <w:rsid w:val="000C7438"/>
    <w:rsid w:val="000D7D7C"/>
    <w:rsid w:val="0010516B"/>
    <w:rsid w:val="001110B2"/>
    <w:rsid w:val="001159B2"/>
    <w:rsid w:val="00115C5F"/>
    <w:rsid w:val="00117147"/>
    <w:rsid w:val="00124E40"/>
    <w:rsid w:val="0015010D"/>
    <w:rsid w:val="00151AC3"/>
    <w:rsid w:val="00153DF3"/>
    <w:rsid w:val="0016001A"/>
    <w:rsid w:val="001855C4"/>
    <w:rsid w:val="001B39AB"/>
    <w:rsid w:val="001C5C9B"/>
    <w:rsid w:val="001F3ABF"/>
    <w:rsid w:val="0020326E"/>
    <w:rsid w:val="00270402"/>
    <w:rsid w:val="002A02E8"/>
    <w:rsid w:val="002A59AF"/>
    <w:rsid w:val="002B721C"/>
    <w:rsid w:val="002C01E7"/>
    <w:rsid w:val="002E6670"/>
    <w:rsid w:val="003048B0"/>
    <w:rsid w:val="00332CDC"/>
    <w:rsid w:val="00346B98"/>
    <w:rsid w:val="0038075E"/>
    <w:rsid w:val="003B57C9"/>
    <w:rsid w:val="003F5510"/>
    <w:rsid w:val="003F5C71"/>
    <w:rsid w:val="00403B9A"/>
    <w:rsid w:val="00415F38"/>
    <w:rsid w:val="00427E00"/>
    <w:rsid w:val="00431F01"/>
    <w:rsid w:val="00447340"/>
    <w:rsid w:val="004645F1"/>
    <w:rsid w:val="004970E2"/>
    <w:rsid w:val="004A3365"/>
    <w:rsid w:val="004A40EC"/>
    <w:rsid w:val="004E2612"/>
    <w:rsid w:val="004E751D"/>
    <w:rsid w:val="00514073"/>
    <w:rsid w:val="00516D72"/>
    <w:rsid w:val="00522BDF"/>
    <w:rsid w:val="0053442B"/>
    <w:rsid w:val="005509E7"/>
    <w:rsid w:val="00566590"/>
    <w:rsid w:val="005936AE"/>
    <w:rsid w:val="005949C2"/>
    <w:rsid w:val="005C20BD"/>
    <w:rsid w:val="005C2E2D"/>
    <w:rsid w:val="005E260D"/>
    <w:rsid w:val="005F4B7C"/>
    <w:rsid w:val="00600C0C"/>
    <w:rsid w:val="00602162"/>
    <w:rsid w:val="00605D9E"/>
    <w:rsid w:val="00605FB1"/>
    <w:rsid w:val="0065017D"/>
    <w:rsid w:val="006615F2"/>
    <w:rsid w:val="006704BB"/>
    <w:rsid w:val="006A366A"/>
    <w:rsid w:val="006A76D1"/>
    <w:rsid w:val="006B7315"/>
    <w:rsid w:val="006C2065"/>
    <w:rsid w:val="006C5E09"/>
    <w:rsid w:val="006E52FA"/>
    <w:rsid w:val="00701D30"/>
    <w:rsid w:val="00715680"/>
    <w:rsid w:val="007173E2"/>
    <w:rsid w:val="007545F9"/>
    <w:rsid w:val="00764D44"/>
    <w:rsid w:val="00764D75"/>
    <w:rsid w:val="00771B06"/>
    <w:rsid w:val="00775035"/>
    <w:rsid w:val="00775287"/>
    <w:rsid w:val="007A05DA"/>
    <w:rsid w:val="007C72B4"/>
    <w:rsid w:val="007D476D"/>
    <w:rsid w:val="007E1897"/>
    <w:rsid w:val="007E5D80"/>
    <w:rsid w:val="008036DA"/>
    <w:rsid w:val="00813293"/>
    <w:rsid w:val="00831D32"/>
    <w:rsid w:val="00835F06"/>
    <w:rsid w:val="00847A63"/>
    <w:rsid w:val="00862591"/>
    <w:rsid w:val="008918F0"/>
    <w:rsid w:val="008A46AD"/>
    <w:rsid w:val="008B1B5B"/>
    <w:rsid w:val="008C3AF7"/>
    <w:rsid w:val="008D16EC"/>
    <w:rsid w:val="008F155F"/>
    <w:rsid w:val="009172FE"/>
    <w:rsid w:val="009351E2"/>
    <w:rsid w:val="00942097"/>
    <w:rsid w:val="00971440"/>
    <w:rsid w:val="009740AF"/>
    <w:rsid w:val="009830A8"/>
    <w:rsid w:val="00987209"/>
    <w:rsid w:val="009949F3"/>
    <w:rsid w:val="0099555C"/>
    <w:rsid w:val="009A447F"/>
    <w:rsid w:val="009C11BE"/>
    <w:rsid w:val="009F0C3A"/>
    <w:rsid w:val="00A27A36"/>
    <w:rsid w:val="00A41A14"/>
    <w:rsid w:val="00A72261"/>
    <w:rsid w:val="00A7353E"/>
    <w:rsid w:val="00A819C6"/>
    <w:rsid w:val="00A85797"/>
    <w:rsid w:val="00A875CE"/>
    <w:rsid w:val="00AB31C1"/>
    <w:rsid w:val="00AB509E"/>
    <w:rsid w:val="00B04E7E"/>
    <w:rsid w:val="00B14952"/>
    <w:rsid w:val="00B150C1"/>
    <w:rsid w:val="00B22F38"/>
    <w:rsid w:val="00B33D7B"/>
    <w:rsid w:val="00B60AB0"/>
    <w:rsid w:val="00B647FB"/>
    <w:rsid w:val="00B67A24"/>
    <w:rsid w:val="00B80159"/>
    <w:rsid w:val="00BA40C4"/>
    <w:rsid w:val="00BB3356"/>
    <w:rsid w:val="00BF5EA2"/>
    <w:rsid w:val="00C07DE7"/>
    <w:rsid w:val="00C122FA"/>
    <w:rsid w:val="00C14D2A"/>
    <w:rsid w:val="00C1525E"/>
    <w:rsid w:val="00C21AFE"/>
    <w:rsid w:val="00C24B81"/>
    <w:rsid w:val="00C331B5"/>
    <w:rsid w:val="00C6070C"/>
    <w:rsid w:val="00C767D5"/>
    <w:rsid w:val="00D325A3"/>
    <w:rsid w:val="00D90215"/>
    <w:rsid w:val="00D90A9F"/>
    <w:rsid w:val="00DA066D"/>
    <w:rsid w:val="00DD0910"/>
    <w:rsid w:val="00DD3DDD"/>
    <w:rsid w:val="00DF3631"/>
    <w:rsid w:val="00DF7471"/>
    <w:rsid w:val="00E0074C"/>
    <w:rsid w:val="00E31ABB"/>
    <w:rsid w:val="00E737D2"/>
    <w:rsid w:val="00E82BD4"/>
    <w:rsid w:val="00E878BC"/>
    <w:rsid w:val="00EA6015"/>
    <w:rsid w:val="00EB6BA8"/>
    <w:rsid w:val="00EC003B"/>
    <w:rsid w:val="00EF0BC9"/>
    <w:rsid w:val="00EF0C53"/>
    <w:rsid w:val="00EF37D4"/>
    <w:rsid w:val="00EF6D32"/>
    <w:rsid w:val="00F518A9"/>
    <w:rsid w:val="00F634D3"/>
    <w:rsid w:val="00F9012A"/>
    <w:rsid w:val="00FC1443"/>
    <w:rsid w:val="00FE5C06"/>
    <w:rsid w:val="00FE7140"/>
    <w:rsid w:val="011D03FB"/>
    <w:rsid w:val="042F0E84"/>
    <w:rsid w:val="04F819E0"/>
    <w:rsid w:val="06CE6B37"/>
    <w:rsid w:val="081C3C83"/>
    <w:rsid w:val="09753F14"/>
    <w:rsid w:val="0BDE2A05"/>
    <w:rsid w:val="0DF55FAE"/>
    <w:rsid w:val="0E565E1F"/>
    <w:rsid w:val="1091549C"/>
    <w:rsid w:val="10960179"/>
    <w:rsid w:val="1118705B"/>
    <w:rsid w:val="1193213C"/>
    <w:rsid w:val="13491FD9"/>
    <w:rsid w:val="1C9979AF"/>
    <w:rsid w:val="1D450165"/>
    <w:rsid w:val="1D7F64B3"/>
    <w:rsid w:val="200279EB"/>
    <w:rsid w:val="210A57A9"/>
    <w:rsid w:val="21CC7587"/>
    <w:rsid w:val="23CD63AE"/>
    <w:rsid w:val="24C654EA"/>
    <w:rsid w:val="25DA1310"/>
    <w:rsid w:val="262F54E8"/>
    <w:rsid w:val="28C2441A"/>
    <w:rsid w:val="28DF25CC"/>
    <w:rsid w:val="29240394"/>
    <w:rsid w:val="297F6C26"/>
    <w:rsid w:val="2A1F52BA"/>
    <w:rsid w:val="2B231600"/>
    <w:rsid w:val="2C0254BA"/>
    <w:rsid w:val="2D897530"/>
    <w:rsid w:val="2EFB442B"/>
    <w:rsid w:val="306F1A24"/>
    <w:rsid w:val="33003F6D"/>
    <w:rsid w:val="35392A88"/>
    <w:rsid w:val="35AB3769"/>
    <w:rsid w:val="39DF1894"/>
    <w:rsid w:val="3CC643F2"/>
    <w:rsid w:val="3EC22BA5"/>
    <w:rsid w:val="402D5CE8"/>
    <w:rsid w:val="416F1020"/>
    <w:rsid w:val="431234B2"/>
    <w:rsid w:val="43C01786"/>
    <w:rsid w:val="449D30C1"/>
    <w:rsid w:val="452B577A"/>
    <w:rsid w:val="457277D5"/>
    <w:rsid w:val="4AF6062C"/>
    <w:rsid w:val="4D517BDA"/>
    <w:rsid w:val="4D6234C6"/>
    <w:rsid w:val="4DEA4FB1"/>
    <w:rsid w:val="518564E8"/>
    <w:rsid w:val="52B51D2E"/>
    <w:rsid w:val="55131416"/>
    <w:rsid w:val="56384B85"/>
    <w:rsid w:val="57413CB1"/>
    <w:rsid w:val="5828542E"/>
    <w:rsid w:val="58652C09"/>
    <w:rsid w:val="59A20469"/>
    <w:rsid w:val="5A807141"/>
    <w:rsid w:val="5AF22ACE"/>
    <w:rsid w:val="5B197881"/>
    <w:rsid w:val="5F744D68"/>
    <w:rsid w:val="609F5D58"/>
    <w:rsid w:val="64BD74C9"/>
    <w:rsid w:val="65826081"/>
    <w:rsid w:val="65D73385"/>
    <w:rsid w:val="697D3689"/>
    <w:rsid w:val="6B2D1A3D"/>
    <w:rsid w:val="6FD706C8"/>
    <w:rsid w:val="737F5829"/>
    <w:rsid w:val="76777C6A"/>
    <w:rsid w:val="7E91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99"/>
    <w:rPr>
      <w:color w:val="auto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link w:val="2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0">
    <w:name w:val="页眉 字符"/>
    <w:link w:val="4"/>
    <w:qFormat/>
    <w:uiPriority w:val="99"/>
    <w:rPr>
      <w:rFonts w:cs="Calibri"/>
      <w:sz w:val="18"/>
      <w:szCs w:val="18"/>
    </w:rPr>
  </w:style>
  <w:style w:type="character" w:customStyle="1" w:styleId="11">
    <w:name w:val="页脚 字符"/>
    <w:link w:val="3"/>
    <w:qFormat/>
    <w:uiPriority w:val="99"/>
    <w:rPr>
      <w:rFonts w:cs="Calibri"/>
      <w:sz w:val="18"/>
      <w:szCs w:val="18"/>
    </w:r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  <w:style w:type="character" w:customStyle="1" w:styleId="13">
    <w:name w:val="font6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4">
    <w:name w:val="font0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71"/>
    <w:basedOn w:val="6"/>
    <w:qFormat/>
    <w:uiPriority w:val="0"/>
    <w:rPr>
      <w:rFonts w:hint="eastAsia" w:ascii="宋体" w:hAnsi="宋体" w:eastAsia="宋体" w:cs="宋体"/>
      <w:color w:val="auto"/>
      <w:sz w:val="20"/>
      <w:szCs w:val="20"/>
      <w:u w:val="none"/>
    </w:rPr>
  </w:style>
  <w:style w:type="character" w:customStyle="1" w:styleId="16">
    <w:name w:val="font51"/>
    <w:basedOn w:val="6"/>
    <w:qFormat/>
    <w:uiPriority w:val="0"/>
    <w:rPr>
      <w:rFonts w:hint="eastAsia" w:ascii="宋体" w:hAnsi="宋体" w:eastAsia="宋体" w:cs="宋体"/>
      <w:color w:val="auto"/>
      <w:sz w:val="20"/>
      <w:szCs w:val="20"/>
      <w:u w:val="none"/>
    </w:rPr>
  </w:style>
  <w:style w:type="character" w:customStyle="1" w:styleId="17">
    <w:name w:val="font81"/>
    <w:basedOn w:val="6"/>
    <w:qFormat/>
    <w:uiPriority w:val="0"/>
    <w:rPr>
      <w:rFonts w:hint="eastAsia" w:ascii="宋体" w:hAnsi="宋体" w:eastAsia="宋体" w:cs="宋体"/>
      <w:color w:val="auto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微软正版用户</Company>
  <Pages>8</Pages>
  <Words>2979</Words>
  <Characters>4063</Characters>
  <Lines>41</Lines>
  <Paragraphs>11</Paragraphs>
  <TotalTime>4</TotalTime>
  <ScaleCrop>false</ScaleCrop>
  <LinksUpToDate>false</LinksUpToDate>
  <CharactersWithSpaces>4408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2018-06-06T14:30:00Z</dcterms:created>
  <dc:creator>微软正版用户</dc:creator>
  <cp:lastModifiedBy>玫瑰不是菜</cp:lastModifiedBy>
  <cp:lastPrinted>2017-10-30T08:17:00Z</cp:lastPrinted>
  <dcterms:modified xsi:type="dcterms:W3CDTF">2022-03-04T00:01:49Z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1F0EBC7B2EC147B086FC8484A94AE0F5</vt:lpwstr>
  </property>
</Properties>
</file>