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jc w:val="center"/>
        <w:rPr>
          <w:rFonts w:cs="Times New Roman"/>
          <w:b/>
          <w:bCs/>
          <w:sz w:val="32"/>
          <w:szCs w:val="32"/>
        </w:rPr>
      </w:pPr>
      <w:r>
        <w:rPr>
          <w:rFonts w:hint="eastAsia" w:cs="宋体"/>
          <w:b/>
          <w:bCs/>
          <w:sz w:val="32"/>
          <w:szCs w:val="32"/>
        </w:rPr>
        <w:t>绍兴市中等专业学校扩建校区无线网络设备购置项目方案</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一、项目概况</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（一）项目名称。</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绍兴市中等专业学校扩建校区无线网络设备购置项目</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（二）项目性质：新建。</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（三）项目建设单位及负责人。</w:t>
      </w:r>
    </w:p>
    <w:p>
      <w:pPr>
        <w:pStyle w:val="8"/>
        <w:spacing w:before="156" w:beforeLines="50" w:after="156" w:afterLines="50" w:line="360" w:lineRule="auto"/>
        <w:ind w:firstLine="0" w:firstLineChars="0"/>
        <w:rPr>
          <w:rFonts w:hint="default" w:ascii="宋体" w:hAnsi="宋体" w:eastAsia="宋体" w:cs="宋体"/>
          <w:sz w:val="28"/>
          <w:szCs w:val="28"/>
          <w:lang w:val="en-US" w:eastAsia="zh-CN"/>
        </w:rPr>
      </w:pPr>
      <w:r>
        <w:rPr>
          <w:rFonts w:hint="eastAsia" w:ascii="宋体" w:hAnsi="宋体" w:cs="宋体"/>
          <w:sz w:val="28"/>
          <w:szCs w:val="28"/>
        </w:rPr>
        <w:t>绍兴市中等专业学校，</w:t>
      </w:r>
      <w:r>
        <w:rPr>
          <w:rFonts w:hint="eastAsia" w:ascii="宋体" w:hAnsi="宋体" w:cs="宋体"/>
          <w:sz w:val="28"/>
          <w:szCs w:val="28"/>
          <w:lang w:val="en-US" w:eastAsia="zh-CN"/>
        </w:rPr>
        <w:t>周冬</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（四）项目主要建设内容、预期绩效。</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主要建设内容：</w:t>
      </w:r>
    </w:p>
    <w:p>
      <w:pPr>
        <w:pStyle w:val="8"/>
        <w:spacing w:before="156" w:beforeLines="50" w:after="156" w:afterLines="50" w:line="360" w:lineRule="auto"/>
        <w:ind w:firstLine="638" w:firstLineChars="228"/>
        <w:rPr>
          <w:rFonts w:ascii="宋体" w:hAnsi="宋体" w:cs="宋体"/>
          <w:sz w:val="28"/>
          <w:szCs w:val="28"/>
        </w:rPr>
      </w:pPr>
      <w:r>
        <w:rPr>
          <w:rFonts w:hint="eastAsia" w:ascii="宋体" w:hAnsi="宋体" w:cs="宋体"/>
          <w:sz w:val="28"/>
          <w:szCs w:val="28"/>
        </w:rPr>
        <w:t>核心多业务无线控制系统1套（含授权200端及以上）、普通室内AP47台、教室AP56台、实训室AP58台、智能化实训室增强型AP24台、室外AP2台、24口POE交换机7台、无线管理终端一体机5套、48口千兆以太网电接口板1块，综合布线系统及施工1批，并与原校区的无线网络进行融合性改造，实现新老校区无线网络融为一体。</w:t>
      </w:r>
    </w:p>
    <w:p>
      <w:pPr>
        <w:pStyle w:val="8"/>
        <w:spacing w:before="156" w:beforeLines="50" w:after="156" w:afterLines="50" w:line="360" w:lineRule="auto"/>
        <w:ind w:firstLine="719" w:firstLineChars="257"/>
        <w:rPr>
          <w:rFonts w:cs="宋体"/>
          <w:sz w:val="28"/>
          <w:szCs w:val="28"/>
        </w:rPr>
      </w:pPr>
      <w:r>
        <w:rPr>
          <w:rFonts w:hint="eastAsia" w:ascii="宋体" w:hAnsi="宋体" w:cs="宋体"/>
          <w:sz w:val="28"/>
          <w:szCs w:val="28"/>
        </w:rPr>
        <w:t>预期绩效：完成扩建校区无线网络的建设，满足扩建大楼的办公室，教室，实训室，智能化实训室、场外区域，实现无线办公、教学需求。本项目在</w:t>
      </w:r>
      <w:r>
        <w:rPr>
          <w:rFonts w:hint="eastAsia" w:cs="宋体"/>
          <w:sz w:val="28"/>
          <w:szCs w:val="28"/>
        </w:rPr>
        <w:t>提供学生必要的教学条件、提升职业学校师生信息化教学质量、提高师生信息化应用能力等方面发挥基础保障作用。</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（五）总投资经费及资金来源。 总投资经费：80万元，资金来源：扩建校区开办专项经费</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二、项目建设的必要性</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（一）项目提出的背景、依据。</w:t>
      </w:r>
    </w:p>
    <w:p>
      <w:pPr>
        <w:spacing w:before="156" w:beforeLines="50" w:after="156" w:afterLines="50" w:line="360" w:lineRule="auto"/>
        <w:ind w:firstLine="565" w:firstLineChars="202"/>
        <w:rPr>
          <w:rFonts w:cs="宋体"/>
          <w:sz w:val="28"/>
          <w:szCs w:val="28"/>
        </w:rPr>
      </w:pPr>
      <w:r>
        <w:rPr>
          <w:rFonts w:hint="eastAsia" w:cs="宋体"/>
          <w:sz w:val="28"/>
          <w:szCs w:val="28"/>
        </w:rPr>
        <w:t>学校扩建工程竣工，总投资15000万元，建筑面积29999㎡，两幢教学实训楼（理实一体教学楼）、一幢食堂宿舍楼和配电房，满足大约50个班级，2250名学生的教学需求。本项目是新大楼投入教学使用必要的建设，是扩建校区投入使用的必要配套功能。</w:t>
      </w:r>
    </w:p>
    <w:p>
      <w:pPr>
        <w:numPr>
          <w:ilvl w:val="0"/>
          <w:numId w:val="1"/>
        </w:numPr>
        <w:spacing w:before="156" w:beforeLines="50" w:after="156" w:afterLines="50" w:line="360" w:lineRule="auto"/>
        <w:rPr>
          <w:rFonts w:cs="宋体"/>
          <w:sz w:val="28"/>
          <w:szCs w:val="28"/>
        </w:rPr>
      </w:pPr>
      <w:r>
        <w:rPr>
          <w:rFonts w:hint="eastAsia" w:cs="宋体"/>
          <w:sz w:val="28"/>
          <w:szCs w:val="28"/>
        </w:rPr>
        <w:t>项目建设的必要性</w:t>
      </w:r>
    </w:p>
    <w:p>
      <w:pPr>
        <w:spacing w:before="156" w:beforeLines="50" w:after="156" w:afterLines="50" w:line="360" w:lineRule="auto"/>
        <w:ind w:firstLine="565" w:firstLineChars="202"/>
        <w:rPr>
          <w:rFonts w:cs="宋体"/>
          <w:sz w:val="28"/>
          <w:szCs w:val="28"/>
        </w:rPr>
      </w:pPr>
      <w:r>
        <w:rPr>
          <w:rFonts w:hint="eastAsia" w:cs="宋体"/>
          <w:sz w:val="28"/>
          <w:szCs w:val="28"/>
        </w:rPr>
        <w:t>其必要性表现在以下几个方面。</w:t>
      </w:r>
    </w:p>
    <w:p>
      <w:pPr>
        <w:numPr>
          <w:ilvl w:val="0"/>
          <w:numId w:val="2"/>
        </w:numPr>
        <w:spacing w:before="156" w:beforeLines="50" w:after="156" w:afterLines="50" w:line="360" w:lineRule="auto"/>
        <w:rPr>
          <w:rFonts w:cs="宋体"/>
          <w:sz w:val="28"/>
          <w:szCs w:val="28"/>
        </w:rPr>
      </w:pPr>
      <w:r>
        <w:rPr>
          <w:rFonts w:hint="eastAsia" w:cs="宋体"/>
          <w:sz w:val="28"/>
          <w:szCs w:val="28"/>
        </w:rPr>
        <w:t>扩建校区无线网络建设必要性：本项目的建设是扩建校区信息化教学、实训、办公所必需的，无线网络已成为所有市级学校的标配。</w:t>
      </w:r>
    </w:p>
    <w:p>
      <w:pPr>
        <w:spacing w:before="156" w:beforeLines="50" w:after="156" w:afterLines="50" w:line="360" w:lineRule="auto"/>
        <w:rPr>
          <w:rFonts w:cs="宋体"/>
          <w:sz w:val="28"/>
          <w:szCs w:val="28"/>
        </w:rPr>
      </w:pPr>
      <w:r>
        <w:rPr>
          <w:rFonts w:hint="eastAsia" w:cs="宋体"/>
          <w:sz w:val="28"/>
          <w:szCs w:val="28"/>
        </w:rPr>
        <w:t>2．与原校区的无线网络进行融合性改造：两校区无论在实体上还上网络上都是一个实体，进行两校区无线网络的融合是教育教学的需求。</w:t>
      </w:r>
    </w:p>
    <w:p>
      <w:pPr>
        <w:spacing w:before="156" w:beforeLines="50" w:after="156" w:afterLines="50" w:line="360" w:lineRule="auto"/>
        <w:rPr>
          <w:rFonts w:cs="宋体"/>
          <w:sz w:val="28"/>
          <w:szCs w:val="28"/>
        </w:rPr>
      </w:pPr>
      <w:r>
        <w:rPr>
          <w:rFonts w:hint="eastAsia" w:cs="宋体"/>
          <w:sz w:val="28"/>
          <w:szCs w:val="28"/>
        </w:rPr>
        <w:t>3．为食堂寝室楼提供无线网络支撑，为阳光橱房、食安云、就寝数字化管理提供底层支撑基础。</w:t>
      </w:r>
    </w:p>
    <w:p>
      <w:pPr>
        <w:spacing w:before="156" w:beforeLines="50" w:after="156" w:afterLines="50" w:line="360" w:lineRule="auto"/>
        <w:ind w:firstLine="565" w:firstLineChars="202"/>
        <w:rPr>
          <w:rFonts w:cs="宋体"/>
          <w:sz w:val="28"/>
          <w:szCs w:val="28"/>
        </w:rPr>
      </w:pPr>
      <w:r>
        <w:rPr>
          <w:rFonts w:hint="eastAsia" w:cs="宋体"/>
          <w:sz w:val="28"/>
          <w:szCs w:val="28"/>
        </w:rPr>
        <w:t>鉴于以上实际情况，提出建设扩建校区无线网络，并对原校区的无线网络进行融合性改造，以保障学校教育、教学对无线网络通信的需求。</w:t>
      </w:r>
    </w:p>
    <w:p>
      <w:pPr>
        <w:spacing w:before="156" w:beforeLines="50" w:after="156" w:afterLines="50" w:line="360" w:lineRule="auto"/>
        <w:rPr>
          <w:rFonts w:cs="宋体"/>
          <w:sz w:val="28"/>
          <w:szCs w:val="28"/>
        </w:rPr>
      </w:pPr>
      <w:r>
        <w:rPr>
          <w:rFonts w:hint="eastAsia" w:cs="宋体"/>
          <w:sz w:val="28"/>
          <w:szCs w:val="28"/>
        </w:rPr>
        <w:t>三、需求分析与建设目标</w:t>
      </w:r>
    </w:p>
    <w:p>
      <w:pPr>
        <w:spacing w:before="156" w:beforeLines="50" w:after="156" w:afterLines="50" w:line="360" w:lineRule="auto"/>
        <w:rPr>
          <w:rFonts w:cs="宋体"/>
          <w:sz w:val="28"/>
          <w:szCs w:val="28"/>
        </w:rPr>
      </w:pPr>
      <w:r>
        <w:rPr>
          <w:rFonts w:hint="eastAsia" w:cs="宋体"/>
          <w:sz w:val="28"/>
          <w:szCs w:val="28"/>
        </w:rPr>
        <w:t>（一）需求分析。</w:t>
      </w:r>
    </w:p>
    <w:p>
      <w:pPr>
        <w:spacing w:before="156" w:beforeLines="50" w:after="156" w:afterLines="50" w:line="360" w:lineRule="auto"/>
        <w:rPr>
          <w:rFonts w:cs="宋体"/>
          <w:sz w:val="28"/>
          <w:szCs w:val="28"/>
        </w:rPr>
      </w:pPr>
      <w:r>
        <w:rPr>
          <w:rFonts w:hint="eastAsia" w:cs="宋体"/>
          <w:sz w:val="28"/>
          <w:szCs w:val="28"/>
        </w:rPr>
        <w:t>扩建校区无线网络的建设应满足扩建大楼相关的办公室，教室，实训室，智能化实训室、场外区域，实现无线办公、教学需求。具体需求如下。智能化实训室需求：专门开设信息化要求较强的理实一体化课堂，需要在100人以上同时进行移动终端互动教学。实训室：常态化开设信息互动实训教学，需要80人以上同时进行移动终端互动教学。教室：常态化开展互动性较强的文化课教学，需要60人以上同时进行移动终端互动教学。办公室、会议室：无线网络覆盖，实现无线办公、会议，需要30人以上同时进行移动终端互动教学。室外无线：全向无线网络覆盖，基本实现场外、食堂寝室楼无线网络的广泛覆盖。</w:t>
      </w:r>
    </w:p>
    <w:p>
      <w:pPr>
        <w:spacing w:before="156" w:beforeLines="50" w:after="156" w:afterLines="50" w:line="360" w:lineRule="auto"/>
        <w:rPr>
          <w:rFonts w:cs="宋体"/>
          <w:sz w:val="28"/>
          <w:szCs w:val="28"/>
        </w:rPr>
      </w:pPr>
      <w:r>
        <w:rPr>
          <w:rFonts w:hint="eastAsia" w:cs="宋体"/>
          <w:sz w:val="28"/>
          <w:szCs w:val="28"/>
        </w:rPr>
        <w:t>（二）业务目标。</w:t>
      </w:r>
    </w:p>
    <w:p>
      <w:pPr>
        <w:spacing w:before="156" w:beforeLines="50" w:after="156" w:afterLines="50" w:line="360" w:lineRule="auto"/>
        <w:ind w:firstLine="630" w:firstLineChars="225"/>
        <w:rPr>
          <w:rFonts w:cs="宋体"/>
          <w:sz w:val="28"/>
          <w:szCs w:val="28"/>
        </w:rPr>
      </w:pPr>
      <w:r>
        <w:rPr>
          <w:rFonts w:hint="eastAsia" w:cs="宋体"/>
          <w:sz w:val="28"/>
          <w:szCs w:val="28"/>
        </w:rPr>
        <w:t>根据业务需求分析，明确项目达到的目标如下。</w:t>
      </w:r>
    </w:p>
    <w:p>
      <w:pPr>
        <w:spacing w:before="156" w:beforeLines="50" w:after="156" w:afterLines="50" w:line="360" w:lineRule="auto"/>
        <w:rPr>
          <w:rFonts w:hint="eastAsia" w:cs="宋体"/>
          <w:sz w:val="28"/>
          <w:szCs w:val="28"/>
        </w:rPr>
      </w:pPr>
      <w:r>
        <w:rPr>
          <w:rFonts w:hint="eastAsia" w:cs="宋体"/>
          <w:sz w:val="28"/>
          <w:szCs w:val="28"/>
        </w:rPr>
        <w:t>1．覆盖面广：扩建校区无线网络建设，实现该区域无线网络全覆盖。</w:t>
      </w:r>
    </w:p>
    <w:p>
      <w:pPr>
        <w:spacing w:before="156" w:beforeLines="50" w:after="156" w:afterLines="50" w:line="360" w:lineRule="auto"/>
        <w:rPr>
          <w:rFonts w:hint="eastAsia" w:cs="宋体"/>
          <w:sz w:val="28"/>
          <w:szCs w:val="28"/>
        </w:rPr>
      </w:pPr>
      <w:r>
        <w:rPr>
          <w:rFonts w:hint="eastAsia" w:cs="宋体"/>
          <w:sz w:val="28"/>
          <w:szCs w:val="28"/>
        </w:rPr>
        <w:t>2．适应度强：针对理实一体化课堂、常态化信息互动实训课堂、常态化信息互动文化课课堂、无线办公与会议应用等场景都有重点性优化，有很强的业务适应度。</w:t>
      </w:r>
    </w:p>
    <w:p>
      <w:pPr>
        <w:spacing w:before="156" w:beforeLines="50" w:after="156" w:afterLines="50" w:line="360" w:lineRule="auto"/>
        <w:rPr>
          <w:rFonts w:hint="eastAsia" w:cs="宋体"/>
          <w:sz w:val="28"/>
          <w:szCs w:val="28"/>
        </w:rPr>
      </w:pPr>
      <w:r>
        <w:rPr>
          <w:rFonts w:hint="eastAsia" w:cs="宋体"/>
          <w:sz w:val="28"/>
          <w:szCs w:val="28"/>
        </w:rPr>
        <w:t>3．具备兼顾性：为食堂寝室楼提供无线网络支撑，为阳光橱房、食安云、就寝数字化管理提供必要的无线网络覆盖。</w:t>
      </w:r>
    </w:p>
    <w:p>
      <w:pPr>
        <w:spacing w:before="156" w:beforeLines="50" w:after="156" w:afterLines="50" w:line="360" w:lineRule="auto"/>
        <w:rPr>
          <w:rFonts w:cs="宋体"/>
          <w:sz w:val="28"/>
          <w:szCs w:val="28"/>
        </w:rPr>
      </w:pPr>
      <w:r>
        <w:rPr>
          <w:rFonts w:hint="eastAsia" w:cs="宋体"/>
          <w:sz w:val="28"/>
          <w:szCs w:val="28"/>
        </w:rPr>
        <w:t>（三）技术目标。</w:t>
      </w:r>
    </w:p>
    <w:p>
      <w:pPr>
        <w:spacing w:before="156" w:beforeLines="50" w:after="156" w:afterLines="50" w:line="360" w:lineRule="auto"/>
        <w:ind w:firstLine="588" w:firstLineChars="210"/>
        <w:rPr>
          <w:rFonts w:cs="宋体"/>
          <w:sz w:val="28"/>
          <w:szCs w:val="28"/>
        </w:rPr>
      </w:pPr>
      <w:r>
        <w:rPr>
          <w:rFonts w:hint="eastAsia" w:cs="宋体"/>
          <w:sz w:val="28"/>
          <w:szCs w:val="28"/>
        </w:rPr>
        <w:t>技术选型、技术优化、技术兼容等方面入手高效实现业务目标。</w:t>
      </w:r>
    </w:p>
    <w:p>
      <w:pPr>
        <w:spacing w:before="156" w:beforeLines="50" w:after="156" w:afterLines="50" w:line="360" w:lineRule="auto"/>
        <w:rPr>
          <w:rFonts w:cs="宋体"/>
          <w:sz w:val="28"/>
          <w:szCs w:val="28"/>
        </w:rPr>
      </w:pPr>
      <w:r>
        <w:rPr>
          <w:rFonts w:hint="eastAsia" w:cs="宋体"/>
          <w:sz w:val="28"/>
          <w:szCs w:val="28"/>
        </w:rPr>
        <w:t>1．技术选型：首先选择国产品牌，在众多优秀的国产品牌中，突出系统的稳定性、高效性、扩展性。</w:t>
      </w:r>
    </w:p>
    <w:p>
      <w:pPr>
        <w:spacing w:before="156" w:beforeLines="50" w:after="156" w:afterLines="50" w:line="360" w:lineRule="auto"/>
        <w:rPr>
          <w:rFonts w:cs="宋体"/>
          <w:sz w:val="28"/>
          <w:szCs w:val="28"/>
        </w:rPr>
      </w:pPr>
      <w:r>
        <w:rPr>
          <w:rFonts w:hint="eastAsia" w:cs="宋体"/>
          <w:sz w:val="28"/>
          <w:szCs w:val="28"/>
        </w:rPr>
        <w:t>2．技术优化：采用成熟的技术体系，便于合理的实现技术架构，上联教育局集中管理端。</w:t>
      </w:r>
    </w:p>
    <w:p>
      <w:pPr>
        <w:spacing w:before="156" w:beforeLines="50" w:after="156" w:afterLines="50" w:line="360" w:lineRule="auto"/>
        <w:rPr>
          <w:rFonts w:hint="eastAsia" w:cs="宋体"/>
          <w:sz w:val="28"/>
          <w:szCs w:val="28"/>
        </w:rPr>
      </w:pPr>
      <w:r>
        <w:rPr>
          <w:rFonts w:hint="eastAsia" w:cs="宋体"/>
          <w:sz w:val="28"/>
          <w:szCs w:val="28"/>
        </w:rPr>
        <w:t>3．技术兼容：无线建设兼容性强弱十分重要，便于多期建设的设备实现统一管理，保证架构的整体性、技术的兼容性、产品的扩展性。</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四、技术方案</w:t>
      </w:r>
    </w:p>
    <w:p>
      <w:pPr>
        <w:numPr>
          <w:ilvl w:val="0"/>
          <w:numId w:val="3"/>
        </w:numPr>
        <w:spacing w:before="156" w:beforeLines="50" w:after="156" w:afterLines="50" w:line="360" w:lineRule="auto"/>
        <w:rPr>
          <w:rFonts w:cs="宋体"/>
          <w:sz w:val="28"/>
          <w:szCs w:val="28"/>
        </w:rPr>
      </w:pPr>
      <w:r>
        <w:rPr>
          <w:rFonts w:hint="eastAsia" w:cs="宋体"/>
          <w:sz w:val="28"/>
          <w:szCs w:val="28"/>
        </w:rPr>
        <w:t>总体思路</w:t>
      </w:r>
    </w:p>
    <w:p>
      <w:pPr>
        <w:spacing w:before="156" w:beforeLines="50" w:after="156" w:afterLines="50" w:line="360" w:lineRule="auto"/>
        <w:ind w:firstLine="565" w:firstLineChars="202"/>
        <w:rPr>
          <w:rFonts w:hint="eastAsia" w:cs="宋体"/>
          <w:sz w:val="28"/>
          <w:szCs w:val="28"/>
        </w:rPr>
      </w:pPr>
      <w:r>
        <w:rPr>
          <w:rFonts w:hint="eastAsia" w:cs="宋体"/>
          <w:sz w:val="28"/>
          <w:szCs w:val="28"/>
        </w:rPr>
        <w:t>以现有计算机网络为基础进行项目的整体性规划，重点考虑整网的融合性、稳定性、规范性。遵循《无线网络管理802.</w:t>
      </w:r>
      <w:r>
        <w:rPr>
          <w:rFonts w:cs="宋体"/>
          <w:sz w:val="28"/>
          <w:szCs w:val="28"/>
        </w:rPr>
        <w:t>11V</w:t>
      </w:r>
      <w:r>
        <w:rPr>
          <w:rFonts w:hint="eastAsia" w:cs="宋体"/>
          <w:sz w:val="28"/>
          <w:szCs w:val="28"/>
        </w:rPr>
        <w:t>标准》、《无线管理标准》、</w:t>
      </w:r>
      <w:r>
        <w:rPr>
          <w:rFonts w:cs="宋体"/>
          <w:sz w:val="28"/>
          <w:szCs w:val="28"/>
        </w:rPr>
        <w:t>《</w:t>
      </w:r>
      <w:r>
        <w:fldChar w:fldCharType="begin"/>
      </w:r>
      <w:r>
        <w:instrText xml:space="preserve"> HYPERLINK "https://baike.baidu.com/item/%E7%BB%BC%E5%90%88%E5%B8%83%E7%BA%BF%E7%B3%BB%E7%BB%9F%E5%B7%A5%E7%A8%8B%E8%AE%BE%E8%AE%A1%E8%A7%84%E8%8C%83/3818624" \t "_blank" </w:instrText>
      </w:r>
      <w:r>
        <w:fldChar w:fldCharType="separate"/>
      </w:r>
      <w:r>
        <w:rPr>
          <w:rFonts w:cs="宋体"/>
          <w:sz w:val="28"/>
          <w:szCs w:val="28"/>
        </w:rPr>
        <w:t>综合布线系统工程设计规范</w:t>
      </w:r>
      <w:r>
        <w:rPr>
          <w:rFonts w:cs="宋体"/>
          <w:sz w:val="28"/>
          <w:szCs w:val="28"/>
        </w:rPr>
        <w:fldChar w:fldCharType="end"/>
      </w:r>
      <w:r>
        <w:rPr>
          <w:rFonts w:cs="宋体"/>
          <w:sz w:val="28"/>
          <w:szCs w:val="28"/>
        </w:rPr>
        <w:t>》</w:t>
      </w:r>
      <w:r>
        <w:rPr>
          <w:rFonts w:hint="eastAsia" w:cs="宋体"/>
          <w:sz w:val="28"/>
          <w:szCs w:val="28"/>
        </w:rPr>
        <w:t>、《建筑与建筑群综合布线系统工程设计及验收规范》、大楼通信综合布线系统第三部分综合布线用连接硬件技术要求》等。总体建设拓扑图如下所示。</w:t>
      </w:r>
    </w:p>
    <w:p>
      <w:pPr>
        <w:spacing w:before="156" w:beforeLines="50" w:after="156" w:afterLines="50" w:line="360" w:lineRule="auto"/>
        <w:rPr>
          <w:rFonts w:cs="宋体"/>
          <w:sz w:val="28"/>
          <w:szCs w:val="28"/>
        </w:rPr>
      </w:pPr>
      <w:r>
        <w:rPr>
          <w:rFonts w:hint="eastAsia" w:cs="宋体"/>
          <w:sz w:val="28"/>
          <w:szCs w:val="28"/>
        </w:rPr>
        <w:t>（二）应用系统设计</w:t>
      </w:r>
    </w:p>
    <w:p>
      <w:pPr>
        <w:spacing w:before="156" w:beforeLines="50" w:after="156" w:afterLines="50" w:line="360" w:lineRule="auto"/>
        <w:rPr>
          <w:rFonts w:hint="eastAsia" w:cs="宋体"/>
          <w:sz w:val="28"/>
          <w:szCs w:val="28"/>
        </w:rPr>
      </w:pPr>
      <w:r>
        <w:rPr>
          <w:rFonts w:hint="eastAsia" w:cs="宋体"/>
          <w:sz w:val="28"/>
          <w:szCs w:val="28"/>
        </w:rPr>
        <w:t xml:space="preserve"> </w:t>
      </w:r>
      <w:r>
        <w:rPr>
          <w:rFonts w:cs="宋体"/>
          <w:sz w:val="28"/>
          <w:szCs w:val="28"/>
        </w:rPr>
        <w:t xml:space="preserve">   </w:t>
      </w:r>
      <w:r>
        <w:rPr>
          <w:rFonts w:hint="eastAsia" w:cs="宋体"/>
          <w:sz w:val="28"/>
          <w:szCs w:val="28"/>
        </w:rPr>
        <w:t>本项目为硬件集成为主体，涉及到的应用系统限于网络可视化管理平台，所以应该注意的是本项目的建设能与学校现有的网络可视化管理平台兼容。</w:t>
      </w:r>
    </w:p>
    <w:p>
      <w:pPr>
        <w:spacing w:before="156" w:beforeLines="50" w:after="156" w:afterLines="50" w:line="360" w:lineRule="auto"/>
        <w:rPr>
          <w:rFonts w:cs="宋体"/>
          <w:sz w:val="28"/>
          <w:szCs w:val="28"/>
        </w:rPr>
      </w:pPr>
      <w:r>
        <w:rPr>
          <w:rFonts w:hint="eastAsia" w:cs="宋体"/>
          <w:sz w:val="28"/>
          <w:szCs w:val="28"/>
        </w:rPr>
        <w:t>（三）基础设施与信息安全设计</w:t>
      </w:r>
    </w:p>
    <w:p>
      <w:pPr>
        <w:spacing w:before="156" w:beforeLines="50" w:after="156" w:afterLines="50" w:line="360" w:lineRule="auto"/>
        <w:rPr>
          <w:rFonts w:hint="eastAsia" w:cs="宋体"/>
          <w:sz w:val="28"/>
          <w:szCs w:val="28"/>
        </w:rPr>
      </w:pPr>
      <w:r>
        <w:rPr>
          <w:rFonts w:hint="eastAsia" w:cs="宋体"/>
          <w:sz w:val="28"/>
          <w:szCs w:val="28"/>
        </w:rPr>
        <w:t>本项目以现有计算机网络为基础，具体部署计划如下。</w:t>
      </w:r>
    </w:p>
    <w:p>
      <w:pPr>
        <w:numPr>
          <w:ilvl w:val="0"/>
          <w:numId w:val="4"/>
        </w:numPr>
        <w:spacing w:before="156" w:beforeLines="50" w:after="156" w:afterLines="50" w:line="360" w:lineRule="auto"/>
        <w:rPr>
          <w:rFonts w:cs="宋体"/>
          <w:sz w:val="28"/>
          <w:szCs w:val="28"/>
        </w:rPr>
      </w:pPr>
      <w:r>
        <w:rPr>
          <w:rFonts w:hint="eastAsia" w:cs="宋体"/>
          <w:sz w:val="28"/>
          <w:szCs w:val="28"/>
        </w:rPr>
        <w:t>新老校区无线网络实现融合，形成独立的无线网络；</w:t>
      </w:r>
    </w:p>
    <w:p>
      <w:pPr>
        <w:numPr>
          <w:ilvl w:val="0"/>
          <w:numId w:val="4"/>
        </w:numPr>
        <w:spacing w:before="156" w:beforeLines="50" w:after="156" w:afterLines="50" w:line="360" w:lineRule="auto"/>
        <w:rPr>
          <w:rFonts w:cs="宋体"/>
          <w:sz w:val="28"/>
          <w:szCs w:val="28"/>
        </w:rPr>
      </w:pPr>
      <w:r>
        <w:rPr>
          <w:rFonts w:hint="eastAsia" w:cs="宋体"/>
          <w:sz w:val="28"/>
          <w:szCs w:val="28"/>
        </w:rPr>
        <w:t>独立成网的无线网络环境，实现集中认证，无线网络认证账号库与学校智慧校园应用系统用户库进行同步。</w:t>
      </w:r>
    </w:p>
    <w:p>
      <w:pPr>
        <w:numPr>
          <w:ilvl w:val="0"/>
          <w:numId w:val="4"/>
        </w:numPr>
        <w:spacing w:before="156" w:beforeLines="50" w:after="156" w:afterLines="50" w:line="360" w:lineRule="auto"/>
        <w:rPr>
          <w:rFonts w:cs="宋体"/>
          <w:sz w:val="28"/>
          <w:szCs w:val="28"/>
        </w:rPr>
      </w:pPr>
      <w:r>
        <w:rPr>
          <w:rFonts w:hint="eastAsia" w:cs="宋体"/>
          <w:sz w:val="28"/>
          <w:szCs w:val="28"/>
        </w:rPr>
        <w:t>选择AP入室，以提高无线通信效率。</w:t>
      </w:r>
    </w:p>
    <w:p>
      <w:pPr>
        <w:numPr>
          <w:ilvl w:val="0"/>
          <w:numId w:val="4"/>
        </w:numPr>
        <w:spacing w:before="156" w:beforeLines="50" w:after="156" w:afterLines="50" w:line="360" w:lineRule="auto"/>
        <w:rPr>
          <w:rFonts w:cs="宋体"/>
          <w:sz w:val="28"/>
          <w:szCs w:val="28"/>
        </w:rPr>
      </w:pPr>
      <w:r>
        <w:rPr>
          <w:rFonts w:hint="eastAsia" w:cs="宋体"/>
          <w:sz w:val="28"/>
          <w:szCs w:val="28"/>
        </w:rPr>
        <w:t>无线网络链路通过万兆上行，经教育局网络中心与外界进行通信。</w:t>
      </w:r>
    </w:p>
    <w:p>
      <w:pPr>
        <w:spacing w:before="156" w:beforeLines="50" w:after="156" w:afterLines="50" w:line="360" w:lineRule="auto"/>
        <w:rPr>
          <w:rFonts w:cs="宋体"/>
          <w:sz w:val="28"/>
          <w:szCs w:val="28"/>
        </w:rPr>
      </w:pPr>
      <w:r>
        <w:rPr>
          <w:rFonts w:hint="eastAsia" w:cs="宋体"/>
          <w:sz w:val="28"/>
          <w:szCs w:val="28"/>
        </w:rPr>
        <w:t>（四）与数字化改革总体框架的关系</w:t>
      </w:r>
    </w:p>
    <w:p>
      <w:pPr>
        <w:spacing w:before="156" w:beforeLines="50" w:after="156" w:afterLines="50" w:line="360" w:lineRule="auto"/>
        <w:ind w:firstLine="565" w:firstLineChars="202"/>
        <w:rPr>
          <w:rFonts w:cs="宋体"/>
          <w:sz w:val="28"/>
          <w:szCs w:val="28"/>
        </w:rPr>
      </w:pPr>
      <w:r>
        <w:rPr>
          <w:rFonts w:hint="eastAsia" w:cs="宋体"/>
          <w:sz w:val="28"/>
          <w:szCs w:val="28"/>
        </w:rPr>
        <w:t>学校教育也在探索数字化改革之路，即使没有纳入国家具体试点实施行列，也一直以整体架构、数据融通的理念贯彻于工作之中。本项目为学校的数字化改革尝试提供基础的网络支持与保障。</w:t>
      </w:r>
    </w:p>
    <w:p>
      <w:pPr>
        <w:spacing w:before="156" w:beforeLines="50" w:after="156" w:afterLines="50" w:line="360" w:lineRule="auto"/>
        <w:rPr>
          <w:rFonts w:cs="宋体"/>
          <w:sz w:val="28"/>
          <w:szCs w:val="28"/>
        </w:rPr>
      </w:pPr>
      <w:r>
        <w:rPr>
          <w:rFonts w:hint="eastAsia" w:cs="宋体"/>
          <w:sz w:val="28"/>
          <w:szCs w:val="28"/>
        </w:rPr>
        <w:t>（五）本项目与本单位现有信息系统、数据信息资源以及本单位本系统信息化规划的关系。</w:t>
      </w:r>
    </w:p>
    <w:p>
      <w:pPr>
        <w:spacing w:before="156" w:beforeLines="50" w:after="156" w:afterLines="50" w:line="360" w:lineRule="auto"/>
        <w:rPr>
          <w:rFonts w:cs="宋体"/>
          <w:sz w:val="28"/>
          <w:szCs w:val="28"/>
        </w:rPr>
      </w:pPr>
      <w:r>
        <w:rPr>
          <w:rFonts w:hint="eastAsia" w:cs="宋体"/>
          <w:sz w:val="28"/>
          <w:szCs w:val="28"/>
        </w:rPr>
        <w:t>1．扩建校区的无线网络建设是本单位信息化规划的一部分，学校早在一年之前，向财政局报告规划情况，申请专项开办经费。</w:t>
      </w:r>
    </w:p>
    <w:p>
      <w:pPr>
        <w:spacing w:before="156" w:beforeLines="50" w:after="156" w:afterLines="50" w:line="360" w:lineRule="auto"/>
        <w:rPr>
          <w:rFonts w:cs="宋体"/>
          <w:sz w:val="28"/>
          <w:szCs w:val="28"/>
        </w:rPr>
      </w:pPr>
      <w:r>
        <w:rPr>
          <w:rFonts w:hint="eastAsia" w:cs="宋体"/>
          <w:sz w:val="28"/>
          <w:szCs w:val="28"/>
        </w:rPr>
        <w:t>2．扩建校区的无线网络建设是本单位现有信息系统、数据信息资源等应用的支撑，起基础保障作用。</w:t>
      </w:r>
    </w:p>
    <w:p>
      <w:pPr>
        <w:spacing w:before="156" w:beforeLines="50" w:after="156" w:afterLines="50" w:line="360" w:lineRule="auto"/>
        <w:rPr>
          <w:rFonts w:cs="宋体"/>
          <w:sz w:val="28"/>
          <w:szCs w:val="28"/>
        </w:rPr>
      </w:pPr>
      <w:r>
        <w:rPr>
          <w:rFonts w:hint="eastAsia" w:cs="宋体"/>
          <w:sz w:val="28"/>
          <w:szCs w:val="28"/>
        </w:rPr>
        <w:t>3．是本单位正常的教育、教学业务开展的必需建设。</w:t>
      </w:r>
    </w:p>
    <w:p>
      <w:pPr>
        <w:spacing w:before="156" w:beforeLines="50" w:after="156" w:afterLines="50" w:line="360" w:lineRule="auto"/>
        <w:rPr>
          <w:rFonts w:cs="宋体"/>
          <w:sz w:val="28"/>
          <w:szCs w:val="28"/>
        </w:rPr>
      </w:pPr>
      <w:r>
        <w:rPr>
          <w:rFonts w:hint="eastAsia" w:cs="宋体"/>
          <w:sz w:val="28"/>
          <w:szCs w:val="28"/>
        </w:rPr>
        <w:t>五．组织实施</w:t>
      </w:r>
    </w:p>
    <w:p>
      <w:pPr>
        <w:spacing w:before="156" w:beforeLines="50" w:after="156" w:afterLines="50" w:line="360" w:lineRule="auto"/>
        <w:rPr>
          <w:rFonts w:cs="宋体"/>
          <w:sz w:val="28"/>
          <w:szCs w:val="28"/>
        </w:rPr>
      </w:pPr>
      <w:r>
        <w:rPr>
          <w:rFonts w:hint="eastAsia" w:cs="宋体"/>
          <w:sz w:val="28"/>
          <w:szCs w:val="28"/>
        </w:rPr>
        <w:t>（一）组织保障</w:t>
      </w:r>
    </w:p>
    <w:p>
      <w:pPr>
        <w:spacing w:before="156" w:beforeLines="50" w:after="156" w:afterLines="50" w:line="360" w:lineRule="auto"/>
        <w:ind w:firstLine="532" w:firstLineChars="190"/>
        <w:rPr>
          <w:rFonts w:cs="宋体"/>
          <w:sz w:val="28"/>
          <w:szCs w:val="28"/>
        </w:rPr>
      </w:pPr>
      <w:r>
        <w:rPr>
          <w:rFonts w:hint="eastAsia" w:cs="宋体"/>
          <w:sz w:val="28"/>
          <w:szCs w:val="28"/>
        </w:rPr>
        <w:t>项目领导：陈徐丹（绍兴市中等专业学校副校长）。</w:t>
      </w:r>
    </w:p>
    <w:p>
      <w:pPr>
        <w:spacing w:before="156" w:beforeLines="50" w:after="156" w:afterLines="50" w:line="360" w:lineRule="auto"/>
        <w:ind w:firstLine="532" w:firstLineChars="190"/>
        <w:rPr>
          <w:rFonts w:cs="宋体"/>
          <w:sz w:val="28"/>
          <w:szCs w:val="28"/>
        </w:rPr>
      </w:pPr>
      <w:r>
        <w:rPr>
          <w:rFonts w:hint="eastAsia" w:cs="宋体"/>
          <w:sz w:val="28"/>
          <w:szCs w:val="28"/>
        </w:rPr>
        <w:t>组织管理方式、人员配置：由信息技术处负责</w:t>
      </w:r>
      <w:r>
        <w:rPr>
          <w:rFonts w:hint="eastAsia" w:cs="宋体"/>
          <w:sz w:val="28"/>
          <w:szCs w:val="28"/>
          <w:lang w:val="en-US" w:eastAsia="zh-CN"/>
        </w:rPr>
        <w:t>技术落实</w:t>
      </w:r>
      <w:r>
        <w:rPr>
          <w:rFonts w:hint="eastAsia" w:cs="宋体"/>
          <w:sz w:val="28"/>
          <w:szCs w:val="28"/>
        </w:rPr>
        <w:t>，配置网络技术主管1名，负责技术管理；网络技术员2名。</w:t>
      </w:r>
    </w:p>
    <w:p>
      <w:pPr>
        <w:spacing w:before="156" w:beforeLines="50" w:after="156" w:afterLines="50" w:line="360" w:lineRule="auto"/>
        <w:rPr>
          <w:rFonts w:cs="宋体"/>
          <w:sz w:val="28"/>
          <w:szCs w:val="28"/>
        </w:rPr>
      </w:pPr>
      <w:r>
        <w:rPr>
          <w:rFonts w:hint="eastAsia" w:cs="宋体"/>
          <w:sz w:val="28"/>
          <w:szCs w:val="28"/>
        </w:rPr>
        <w:t>（二）实施进度计划</w:t>
      </w:r>
    </w:p>
    <w:p>
      <w:pPr>
        <w:spacing w:before="156" w:beforeLines="50" w:after="156" w:afterLines="50" w:line="360" w:lineRule="auto"/>
        <w:ind w:firstLine="565" w:firstLineChars="202"/>
        <w:rPr>
          <w:rFonts w:cs="宋体"/>
          <w:sz w:val="28"/>
          <w:szCs w:val="28"/>
        </w:rPr>
      </w:pPr>
      <w:r>
        <w:rPr>
          <w:rFonts w:hint="eastAsia" w:cs="宋体"/>
          <w:sz w:val="28"/>
          <w:szCs w:val="28"/>
        </w:rPr>
        <w:t>项目预期起始和完成时间：2</w:t>
      </w:r>
      <w:r>
        <w:rPr>
          <w:rFonts w:cs="宋体"/>
          <w:sz w:val="28"/>
          <w:szCs w:val="28"/>
        </w:rPr>
        <w:t>022</w:t>
      </w:r>
      <w:r>
        <w:rPr>
          <w:rFonts w:hint="eastAsia" w:cs="宋体"/>
          <w:sz w:val="28"/>
          <w:szCs w:val="28"/>
        </w:rPr>
        <w:t>年3月份启动实施，2</w:t>
      </w:r>
      <w:r>
        <w:rPr>
          <w:rFonts w:cs="宋体"/>
          <w:sz w:val="28"/>
          <w:szCs w:val="28"/>
        </w:rPr>
        <w:t>022</w:t>
      </w:r>
      <w:r>
        <w:rPr>
          <w:rFonts w:hint="eastAsia" w:cs="宋体"/>
          <w:sz w:val="28"/>
          <w:szCs w:val="28"/>
        </w:rPr>
        <w:t>年6月份完成。</w:t>
      </w:r>
    </w:p>
    <w:p>
      <w:pPr>
        <w:spacing w:before="156" w:beforeLines="50" w:after="156" w:afterLines="50" w:line="360" w:lineRule="auto"/>
        <w:ind w:firstLine="565" w:firstLineChars="202"/>
        <w:rPr>
          <w:rFonts w:cs="宋体"/>
          <w:sz w:val="28"/>
          <w:szCs w:val="28"/>
        </w:rPr>
      </w:pPr>
      <w:r>
        <w:rPr>
          <w:rFonts w:hint="eastAsia" w:cs="宋体"/>
          <w:sz w:val="28"/>
          <w:szCs w:val="28"/>
        </w:rPr>
        <w:t>分阶段实施计划：2</w:t>
      </w:r>
      <w:r>
        <w:rPr>
          <w:rFonts w:cs="宋体"/>
          <w:sz w:val="28"/>
          <w:szCs w:val="28"/>
        </w:rPr>
        <w:t>022</w:t>
      </w:r>
      <w:r>
        <w:rPr>
          <w:rFonts w:hint="eastAsia" w:cs="宋体"/>
          <w:sz w:val="28"/>
          <w:szCs w:val="28"/>
        </w:rPr>
        <w:t>年3月份前，项目调研，预算编制，方案落实、方案论证；2</w:t>
      </w:r>
      <w:r>
        <w:rPr>
          <w:rFonts w:cs="宋体"/>
          <w:sz w:val="28"/>
          <w:szCs w:val="28"/>
        </w:rPr>
        <w:t>022</w:t>
      </w:r>
      <w:r>
        <w:rPr>
          <w:rFonts w:hint="eastAsia" w:cs="宋体"/>
          <w:sz w:val="28"/>
          <w:szCs w:val="28"/>
        </w:rPr>
        <w:t>年3月份，项目审批、项目公示、政府采购；2</w:t>
      </w:r>
      <w:r>
        <w:rPr>
          <w:rFonts w:cs="宋体"/>
          <w:sz w:val="28"/>
          <w:szCs w:val="28"/>
        </w:rPr>
        <w:t>022</w:t>
      </w:r>
      <w:r>
        <w:rPr>
          <w:rFonts w:hint="eastAsia" w:cs="宋体"/>
          <w:sz w:val="28"/>
          <w:szCs w:val="28"/>
        </w:rPr>
        <w:t>年4月份，合同签订、项目实施、项目管理；2</w:t>
      </w:r>
      <w:r>
        <w:rPr>
          <w:rFonts w:cs="宋体"/>
          <w:sz w:val="28"/>
          <w:szCs w:val="28"/>
        </w:rPr>
        <w:t>022</w:t>
      </w:r>
      <w:r>
        <w:rPr>
          <w:rFonts w:hint="eastAsia" w:cs="宋体"/>
          <w:sz w:val="28"/>
          <w:szCs w:val="28"/>
        </w:rPr>
        <w:t>年5月份，试运行、竣工资料编制；2</w:t>
      </w:r>
      <w:r>
        <w:rPr>
          <w:rFonts w:cs="宋体"/>
          <w:sz w:val="28"/>
          <w:szCs w:val="28"/>
        </w:rPr>
        <w:t>022</w:t>
      </w:r>
      <w:r>
        <w:rPr>
          <w:rFonts w:hint="eastAsia" w:cs="宋体"/>
          <w:sz w:val="28"/>
          <w:szCs w:val="28"/>
        </w:rPr>
        <w:t>年6月份，项目验收、项目结报；2</w:t>
      </w:r>
      <w:r>
        <w:rPr>
          <w:rFonts w:cs="宋体"/>
          <w:sz w:val="28"/>
          <w:szCs w:val="28"/>
        </w:rPr>
        <w:t>022</w:t>
      </w:r>
      <w:r>
        <w:rPr>
          <w:rFonts w:hint="eastAsia" w:cs="宋体"/>
          <w:sz w:val="28"/>
          <w:szCs w:val="28"/>
        </w:rPr>
        <w:t>年6月份，项目归档。</w:t>
      </w:r>
    </w:p>
    <w:p>
      <w:pPr>
        <w:spacing w:before="156" w:beforeLines="50" w:after="156" w:afterLines="50" w:line="360" w:lineRule="auto"/>
        <w:ind w:firstLine="565" w:firstLineChars="202"/>
        <w:rPr>
          <w:rFonts w:cs="宋体"/>
          <w:sz w:val="28"/>
          <w:szCs w:val="28"/>
        </w:rPr>
      </w:pPr>
      <w:r>
        <w:rPr>
          <w:rFonts w:hint="eastAsia" w:cs="宋体"/>
          <w:sz w:val="28"/>
          <w:szCs w:val="28"/>
        </w:rPr>
        <w:t>项目培训需求和计划：针对学校网络管理人员进行深入的运维方面的培训；计划分三部分，设备基本维护培训，故障案例处理培训，可扩展性处理方面的培训。</w:t>
      </w:r>
    </w:p>
    <w:p>
      <w:pPr>
        <w:spacing w:line="600" w:lineRule="exact"/>
        <w:ind w:firstLine="560" w:firstLineChars="200"/>
        <w:rPr>
          <w:rFonts w:hint="eastAsia" w:cs="宋体"/>
          <w:sz w:val="28"/>
          <w:szCs w:val="28"/>
        </w:rPr>
      </w:pPr>
      <w:r>
        <w:rPr>
          <w:rFonts w:hint="eastAsia" w:cs="宋体"/>
          <w:sz w:val="28"/>
          <w:szCs w:val="28"/>
        </w:rPr>
        <w:t>六、效益与风险分析</w:t>
      </w:r>
    </w:p>
    <w:p>
      <w:pPr>
        <w:spacing w:line="600" w:lineRule="exact"/>
        <w:ind w:firstLine="560" w:firstLineChars="200"/>
        <w:rPr>
          <w:rFonts w:cs="宋体"/>
          <w:sz w:val="28"/>
          <w:szCs w:val="28"/>
        </w:rPr>
      </w:pPr>
      <w:r>
        <w:rPr>
          <w:rFonts w:hint="eastAsia" w:cs="宋体"/>
          <w:sz w:val="28"/>
          <w:szCs w:val="28"/>
        </w:rPr>
        <w:t>（一）项目的经济效益和社会效益分析</w:t>
      </w:r>
    </w:p>
    <w:p>
      <w:pPr>
        <w:pStyle w:val="8"/>
        <w:spacing w:before="156" w:beforeLines="50" w:after="156" w:afterLines="50" w:line="360" w:lineRule="auto"/>
        <w:ind w:firstLine="719" w:firstLineChars="257"/>
        <w:rPr>
          <w:rFonts w:cs="宋体"/>
          <w:sz w:val="28"/>
          <w:szCs w:val="28"/>
        </w:rPr>
      </w:pPr>
      <w:r>
        <w:rPr>
          <w:rFonts w:hint="eastAsia" w:ascii="宋体" w:hAnsi="宋体" w:cs="宋体"/>
          <w:sz w:val="28"/>
          <w:szCs w:val="28"/>
        </w:rPr>
        <w:t>主要效益表现为满足扩建大楼的办公室，教室，实训室，智能化实训室、场外区域，实现无线办公、教学需求。本项目在</w:t>
      </w:r>
      <w:r>
        <w:rPr>
          <w:rFonts w:hint="eastAsia" w:cs="宋体"/>
          <w:sz w:val="28"/>
          <w:szCs w:val="28"/>
        </w:rPr>
        <w:t>提供学生必要的教学条件、提升职业学校师生信息化教学质量、提高师生信息化应用能力等方面发挥基础保障作用。建设好本项目可减少网络维修维护方面的支出，提升师生教学体验感，提升学</w:t>
      </w:r>
      <w:r>
        <w:rPr>
          <w:rFonts w:hint="eastAsia" w:cs="宋体"/>
          <w:sz w:val="28"/>
          <w:szCs w:val="28"/>
          <w:lang w:val="en-US" w:eastAsia="zh-CN"/>
        </w:rPr>
        <w:t>校</w:t>
      </w:r>
      <w:r>
        <w:rPr>
          <w:rFonts w:hint="eastAsia" w:cs="宋体"/>
          <w:sz w:val="28"/>
          <w:szCs w:val="28"/>
        </w:rPr>
        <w:t>在同行中的影响</w:t>
      </w:r>
      <w:r>
        <w:rPr>
          <w:rFonts w:hint="eastAsia" w:cs="宋体"/>
          <w:sz w:val="28"/>
          <w:szCs w:val="28"/>
          <w:lang w:val="en-US" w:eastAsia="zh-CN"/>
        </w:rPr>
        <w:t>力</w:t>
      </w:r>
      <w:r>
        <w:rPr>
          <w:rFonts w:hint="eastAsia" w:cs="宋体"/>
          <w:sz w:val="28"/>
          <w:szCs w:val="28"/>
        </w:rPr>
        <w:t>。</w:t>
      </w:r>
    </w:p>
    <w:p>
      <w:pPr>
        <w:spacing w:line="600" w:lineRule="exact"/>
        <w:ind w:firstLine="560" w:firstLineChars="200"/>
        <w:rPr>
          <w:rFonts w:cs="宋体"/>
          <w:sz w:val="28"/>
          <w:szCs w:val="28"/>
        </w:rPr>
      </w:pPr>
      <w:r>
        <w:rPr>
          <w:rFonts w:hint="eastAsia" w:cs="宋体"/>
          <w:sz w:val="28"/>
          <w:szCs w:val="28"/>
        </w:rPr>
        <w:t>（二）项目风险与风险对策。</w:t>
      </w:r>
    </w:p>
    <w:p>
      <w:pPr>
        <w:spacing w:line="600" w:lineRule="exact"/>
        <w:ind w:firstLine="560" w:firstLineChars="200"/>
        <w:rPr>
          <w:rFonts w:hint="eastAsia" w:cs="宋体"/>
          <w:sz w:val="28"/>
          <w:szCs w:val="28"/>
        </w:rPr>
      </w:pPr>
      <w:r>
        <w:rPr>
          <w:rFonts w:hint="eastAsia" w:cs="宋体"/>
          <w:sz w:val="28"/>
          <w:szCs w:val="28"/>
        </w:rPr>
        <w:t>实施商的技术局限，未能实现系统集成的预期效果是本项目的风险所在。对策，加强本单位信息技术人员对现有无线网络的实践性学习，便于掌握技术实施方法，提升技术实施能力，保障本项目的顺利实施。</w:t>
      </w:r>
    </w:p>
    <w:p>
      <w:pPr>
        <w:spacing w:before="156" w:beforeLines="50" w:after="156" w:afterLines="50" w:line="360" w:lineRule="auto"/>
        <w:rPr>
          <w:rFonts w:hint="eastAsia" w:cs="宋体"/>
          <w:sz w:val="28"/>
          <w:szCs w:val="28"/>
        </w:rPr>
      </w:pPr>
      <w:r>
        <w:rPr>
          <w:rFonts w:hint="eastAsia" w:cs="宋体"/>
          <w:sz w:val="28"/>
          <w:szCs w:val="28"/>
        </w:rPr>
        <w:t>七、项目预算</w:t>
      </w:r>
    </w:p>
    <w:p>
      <w:pPr>
        <w:spacing w:before="156" w:beforeLines="50" w:after="156" w:afterLines="50" w:line="360" w:lineRule="auto"/>
        <w:rPr>
          <w:rFonts w:cs="宋体"/>
          <w:sz w:val="28"/>
          <w:szCs w:val="28"/>
        </w:rPr>
      </w:pPr>
      <w:r>
        <w:rPr>
          <w:rFonts w:hint="eastAsia" w:cs="宋体"/>
          <w:sz w:val="28"/>
          <w:szCs w:val="28"/>
        </w:rPr>
        <w:t>（一）总投资预算</w:t>
      </w:r>
    </w:p>
    <w:p>
      <w:pPr>
        <w:spacing w:before="156" w:beforeLines="50" w:after="156" w:afterLines="50" w:line="360" w:lineRule="auto"/>
        <w:ind w:firstLine="565" w:firstLineChars="202"/>
        <w:rPr>
          <w:rFonts w:hint="eastAsia" w:cs="宋体"/>
          <w:sz w:val="28"/>
          <w:szCs w:val="28"/>
        </w:rPr>
      </w:pPr>
      <w:r>
        <w:rPr>
          <w:rFonts w:hint="eastAsia" w:cs="宋体"/>
          <w:sz w:val="28"/>
          <w:szCs w:val="28"/>
        </w:rPr>
        <w:t>总投资预算800000元人民币，经费来源于绍兴市中等专业学校扩建校区开办经费，已由财政立项，实施方案需审报电子政务项目预审。</w:t>
      </w:r>
    </w:p>
    <w:p>
      <w:pPr>
        <w:numPr>
          <w:ilvl w:val="0"/>
          <w:numId w:val="3"/>
        </w:numPr>
        <w:spacing w:before="156" w:beforeLines="50" w:after="156" w:afterLines="50" w:line="360" w:lineRule="auto"/>
        <w:ind w:left="0" w:leftChars="0" w:firstLine="0" w:firstLineChars="0"/>
        <w:rPr>
          <w:rFonts w:hint="eastAsia" w:cs="宋体"/>
          <w:sz w:val="28"/>
          <w:szCs w:val="28"/>
        </w:rPr>
      </w:pPr>
      <w:r>
        <w:rPr>
          <w:rFonts w:hint="eastAsia" w:cs="宋体"/>
          <w:sz w:val="28"/>
          <w:szCs w:val="28"/>
        </w:rPr>
        <w:t>硬件设备购置费用预算。</w:t>
      </w:r>
    </w:p>
    <w:tbl>
      <w:tblPr>
        <w:tblStyle w:val="5"/>
        <w:tblW w:w="9794" w:type="dxa"/>
        <w:tblInd w:w="0" w:type="dxa"/>
        <w:tblLayout w:type="fixed"/>
        <w:tblCellMar>
          <w:top w:w="0" w:type="dxa"/>
          <w:left w:w="0" w:type="dxa"/>
          <w:bottom w:w="0" w:type="dxa"/>
          <w:right w:w="0" w:type="dxa"/>
        </w:tblCellMar>
      </w:tblPr>
      <w:tblGrid>
        <w:gridCol w:w="453"/>
        <w:gridCol w:w="1125"/>
        <w:gridCol w:w="921"/>
        <w:gridCol w:w="4647"/>
        <w:gridCol w:w="501"/>
        <w:gridCol w:w="534"/>
        <w:gridCol w:w="795"/>
        <w:gridCol w:w="818"/>
      </w:tblGrid>
      <w:tr>
        <w:tblPrEx>
          <w:tblCellMar>
            <w:top w:w="0" w:type="dxa"/>
            <w:left w:w="0" w:type="dxa"/>
            <w:bottom w:w="0" w:type="dxa"/>
            <w:right w:w="0" w:type="dxa"/>
          </w:tblCellMar>
        </w:tblPrEx>
        <w:trPr>
          <w:trHeight w:val="559" w:hRule="atLeast"/>
        </w:trPr>
        <w:tc>
          <w:tcPr>
            <w:tcW w:w="453" w:type="dxa"/>
            <w:tcBorders>
              <w:top w:val="single" w:color="auto" w:sz="4" w:space="0"/>
              <w:left w:val="single" w:color="auto" w:sz="4" w:space="0"/>
              <w:bottom w:val="single" w:color="auto" w:sz="4" w:space="0"/>
              <w:right w:val="single" w:color="auto" w:sz="4" w:space="0"/>
            </w:tcBorders>
            <w:shd w:val="clear" w:color="000000" w:fill="D9D9D9"/>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kern w:val="0"/>
                <w:lang w:bidi="ar"/>
              </w:rPr>
              <w:t>序号</w:t>
            </w:r>
          </w:p>
        </w:tc>
        <w:tc>
          <w:tcPr>
            <w:tcW w:w="1125" w:type="dxa"/>
            <w:tcBorders>
              <w:top w:val="single" w:color="auto" w:sz="4" w:space="0"/>
              <w:left w:val="nil"/>
              <w:bottom w:val="single" w:color="auto" w:sz="4" w:space="0"/>
              <w:right w:val="single" w:color="auto" w:sz="4" w:space="0"/>
            </w:tcBorders>
            <w:shd w:val="clear" w:color="000000" w:fill="D9D9D9"/>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kern w:val="0"/>
                <w:lang w:bidi="ar"/>
              </w:rPr>
              <w:t>设备名</w:t>
            </w:r>
          </w:p>
        </w:tc>
        <w:tc>
          <w:tcPr>
            <w:tcW w:w="921" w:type="dxa"/>
            <w:tcBorders>
              <w:top w:val="single" w:color="auto" w:sz="4" w:space="0"/>
              <w:left w:val="nil"/>
              <w:bottom w:val="single" w:color="auto" w:sz="4" w:space="0"/>
              <w:right w:val="single" w:color="auto" w:sz="4" w:space="0"/>
            </w:tcBorders>
            <w:shd w:val="clear" w:color="000000" w:fill="D9D9D9"/>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kern w:val="0"/>
                <w:lang w:bidi="ar"/>
              </w:rPr>
              <w:t>推荐品牌</w:t>
            </w:r>
          </w:p>
        </w:tc>
        <w:tc>
          <w:tcPr>
            <w:tcW w:w="4647" w:type="dxa"/>
            <w:tcBorders>
              <w:top w:val="single" w:color="auto" w:sz="4" w:space="0"/>
              <w:left w:val="nil"/>
              <w:bottom w:val="single" w:color="auto" w:sz="4" w:space="0"/>
              <w:right w:val="single" w:color="auto" w:sz="4" w:space="0"/>
            </w:tcBorders>
            <w:shd w:val="clear" w:color="000000" w:fill="D9D9D9"/>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kern w:val="0"/>
                <w:lang w:bidi="ar"/>
              </w:rPr>
              <w:t>配置与技术参数</w:t>
            </w:r>
          </w:p>
        </w:tc>
        <w:tc>
          <w:tcPr>
            <w:tcW w:w="501" w:type="dxa"/>
            <w:tcBorders>
              <w:top w:val="single" w:color="auto" w:sz="4" w:space="0"/>
              <w:left w:val="nil"/>
              <w:bottom w:val="single" w:color="auto" w:sz="4" w:space="0"/>
              <w:right w:val="single" w:color="auto" w:sz="4" w:space="0"/>
            </w:tcBorders>
            <w:shd w:val="clear" w:color="000000" w:fill="D9D9D9"/>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kern w:val="0"/>
                <w:lang w:bidi="ar"/>
              </w:rPr>
              <w:t>数量</w:t>
            </w:r>
          </w:p>
        </w:tc>
        <w:tc>
          <w:tcPr>
            <w:tcW w:w="534" w:type="dxa"/>
            <w:tcBorders>
              <w:top w:val="single" w:color="auto" w:sz="4" w:space="0"/>
              <w:left w:val="nil"/>
              <w:bottom w:val="single" w:color="auto" w:sz="4" w:space="0"/>
              <w:right w:val="single" w:color="auto" w:sz="4" w:space="0"/>
            </w:tcBorders>
            <w:shd w:val="clear" w:color="000000" w:fill="D9D9D9"/>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kern w:val="0"/>
                <w:lang w:bidi="ar"/>
              </w:rPr>
              <w:t>单位</w:t>
            </w:r>
          </w:p>
        </w:tc>
        <w:tc>
          <w:tcPr>
            <w:tcW w:w="795" w:type="dxa"/>
            <w:tcBorders>
              <w:top w:val="single" w:color="auto" w:sz="4" w:space="0"/>
              <w:left w:val="nil"/>
              <w:bottom w:val="single" w:color="auto" w:sz="4" w:space="0"/>
              <w:right w:val="single" w:color="auto" w:sz="4" w:space="0"/>
            </w:tcBorders>
            <w:shd w:val="clear" w:color="000000" w:fill="D9D9D9"/>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kern w:val="0"/>
                <w:lang w:bidi="ar"/>
              </w:rPr>
              <w:t>单价</w:t>
            </w:r>
          </w:p>
        </w:tc>
        <w:tc>
          <w:tcPr>
            <w:tcW w:w="818" w:type="dxa"/>
            <w:tcBorders>
              <w:top w:val="single" w:color="auto" w:sz="4" w:space="0"/>
              <w:left w:val="nil"/>
              <w:bottom w:val="single" w:color="auto" w:sz="4" w:space="0"/>
              <w:right w:val="single" w:color="auto" w:sz="4" w:space="0"/>
            </w:tcBorders>
            <w:shd w:val="clear" w:color="000000" w:fill="D9D9D9"/>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kern w:val="0"/>
                <w:lang w:bidi="ar"/>
              </w:rPr>
              <w:t>小计</w:t>
            </w:r>
          </w:p>
        </w:tc>
      </w:tr>
      <w:tr>
        <w:tblPrEx>
          <w:tblCellMar>
            <w:top w:w="0" w:type="dxa"/>
            <w:left w:w="0" w:type="dxa"/>
            <w:bottom w:w="0" w:type="dxa"/>
            <w:right w:w="0" w:type="dxa"/>
          </w:tblCellMar>
        </w:tblPrEx>
        <w:trPr>
          <w:trHeight w:val="90" w:hRule="atLeast"/>
        </w:trPr>
        <w:tc>
          <w:tcPr>
            <w:tcW w:w="453"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核心多业务无线控制系统</w:t>
            </w:r>
          </w:p>
        </w:tc>
        <w:tc>
          <w:tcPr>
            <w:tcW w:w="9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H3C、HuaWei、ZTE</w:t>
            </w:r>
          </w:p>
        </w:tc>
        <w:tc>
          <w:tcPr>
            <w:tcW w:w="4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1.基本要求：无线增强型控制器主机1套，模块化设计，最大接入AP数≥512端。</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2.端口要求：配置以太网接口扩展模块1块，含8个GE接口，2个SFP+接口。</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3.网络电源2端口：配置2端口网络电源适配器，60W-55V-1.1A-DC-1m。</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4.32AP授权要求1项：增强型无线控制器license授权函-管理32AP-企业网专用-V7专用。</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5.128AP授权要求1项：增强型无线控制器license授权函-管理200AP-企业网专用-V7专用。</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6.双交流电源模块：配置250W交流电源模块2个。</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7.设备与授权要求兼容IPV4、IPV6等模式。</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8.服务购置:原厂质保5年，月巡访服务。</w:t>
            </w:r>
          </w:p>
        </w:tc>
        <w:tc>
          <w:tcPr>
            <w:tcW w:w="501"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w:t>
            </w:r>
          </w:p>
        </w:tc>
        <w:tc>
          <w:tcPr>
            <w:tcW w:w="53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套</w:t>
            </w:r>
          </w:p>
        </w:tc>
        <w:tc>
          <w:tcPr>
            <w:tcW w:w="79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126000</w:t>
            </w:r>
          </w:p>
        </w:tc>
        <w:tc>
          <w:tcPr>
            <w:tcW w:w="81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126000</w:t>
            </w:r>
          </w:p>
        </w:tc>
      </w:tr>
      <w:tr>
        <w:tblPrEx>
          <w:tblCellMar>
            <w:top w:w="0" w:type="dxa"/>
            <w:left w:w="0" w:type="dxa"/>
            <w:bottom w:w="0" w:type="dxa"/>
            <w:right w:w="0" w:type="dxa"/>
          </w:tblCellMar>
        </w:tblPrEx>
        <w:trPr>
          <w:trHeight w:val="2820" w:hRule="atLeast"/>
        </w:trPr>
        <w:tc>
          <w:tcPr>
            <w:tcW w:w="453"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2</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普通室内AP</w:t>
            </w:r>
          </w:p>
        </w:tc>
        <w:tc>
          <w:tcPr>
            <w:tcW w:w="9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H3C、HuaWei、ZTE</w:t>
            </w:r>
          </w:p>
        </w:tc>
        <w:tc>
          <w:tcPr>
            <w:tcW w:w="4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1.配置要求：内置天线双频四流802.11ax/ac/n无线接入点-FIT。</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2.接入要求：要求单AP接入且正常并发交互量达30端及以上（以用户实际使用测试为准）。</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3.认证要求：单AP可设置认证方式，本次建设要求采用统一出口式认证模式。</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4.设备兼容IPV4、IPV6等模式。</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5.服务购置:原厂质保5年，月巡访服务。</w:t>
            </w:r>
          </w:p>
        </w:tc>
        <w:tc>
          <w:tcPr>
            <w:tcW w:w="501"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47</w:t>
            </w:r>
          </w:p>
        </w:tc>
        <w:tc>
          <w:tcPr>
            <w:tcW w:w="53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台</w:t>
            </w:r>
          </w:p>
        </w:tc>
        <w:tc>
          <w:tcPr>
            <w:tcW w:w="79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1200</w:t>
            </w:r>
          </w:p>
        </w:tc>
        <w:tc>
          <w:tcPr>
            <w:tcW w:w="81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56400</w:t>
            </w:r>
          </w:p>
        </w:tc>
      </w:tr>
      <w:tr>
        <w:tblPrEx>
          <w:tblCellMar>
            <w:top w:w="0" w:type="dxa"/>
            <w:left w:w="0" w:type="dxa"/>
            <w:bottom w:w="0" w:type="dxa"/>
            <w:right w:w="0" w:type="dxa"/>
          </w:tblCellMar>
        </w:tblPrEx>
        <w:trPr>
          <w:trHeight w:val="2719" w:hRule="atLeast"/>
        </w:trPr>
        <w:tc>
          <w:tcPr>
            <w:tcW w:w="453"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3</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教室AP</w:t>
            </w:r>
          </w:p>
        </w:tc>
        <w:tc>
          <w:tcPr>
            <w:tcW w:w="9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H3C、HuaWei、ZTE</w:t>
            </w:r>
          </w:p>
        </w:tc>
        <w:tc>
          <w:tcPr>
            <w:tcW w:w="4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1.配置要求：内置天线双频四流802.11ax/ac/n无线接入点-FIT。</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2.接入要求：要求单AP接入且正常并发交互量达60端及以上（以用户实际使用测试为准）。</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3.认证要求：单AP可设置认证方式，本次建设要求采用统一出口式认证模式。</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4.设备兼容IPV4、IPV6等模式。</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5.服务购置:原厂质保5年，月巡访服务。</w:t>
            </w:r>
          </w:p>
        </w:tc>
        <w:tc>
          <w:tcPr>
            <w:tcW w:w="501"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56</w:t>
            </w:r>
          </w:p>
        </w:tc>
        <w:tc>
          <w:tcPr>
            <w:tcW w:w="53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台</w:t>
            </w:r>
          </w:p>
        </w:tc>
        <w:tc>
          <w:tcPr>
            <w:tcW w:w="79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2200</w:t>
            </w:r>
          </w:p>
        </w:tc>
        <w:tc>
          <w:tcPr>
            <w:tcW w:w="81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123200</w:t>
            </w:r>
          </w:p>
        </w:tc>
      </w:tr>
      <w:tr>
        <w:tblPrEx>
          <w:tblCellMar>
            <w:top w:w="0" w:type="dxa"/>
            <w:left w:w="0" w:type="dxa"/>
            <w:bottom w:w="0" w:type="dxa"/>
            <w:right w:w="0" w:type="dxa"/>
          </w:tblCellMar>
        </w:tblPrEx>
        <w:trPr>
          <w:trHeight w:val="2922" w:hRule="atLeast"/>
        </w:trPr>
        <w:tc>
          <w:tcPr>
            <w:tcW w:w="453"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4</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实训室AP</w:t>
            </w:r>
          </w:p>
        </w:tc>
        <w:tc>
          <w:tcPr>
            <w:tcW w:w="9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H6C、HuaWei、ZTE</w:t>
            </w:r>
          </w:p>
        </w:tc>
        <w:tc>
          <w:tcPr>
            <w:tcW w:w="4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1.配置要求：内置天线双频四流802.11ax/ac/n无线接入点-FIT。</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2.接入要求：要求单AP接入且正常并发交互量达80端及以上（以用户实际使用测试为准）。</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3.认证要求：单AP可设置认证方式，本次建设要求采用统一出口式认证模式。</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4.设备兼容IPV4、IPV6等模式。</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5.服务购置:原厂质保5年，月巡访服务。</w:t>
            </w:r>
          </w:p>
        </w:tc>
        <w:tc>
          <w:tcPr>
            <w:tcW w:w="501"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58</w:t>
            </w:r>
          </w:p>
        </w:tc>
        <w:tc>
          <w:tcPr>
            <w:tcW w:w="53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台</w:t>
            </w:r>
          </w:p>
        </w:tc>
        <w:tc>
          <w:tcPr>
            <w:tcW w:w="79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2800</w:t>
            </w:r>
          </w:p>
        </w:tc>
        <w:tc>
          <w:tcPr>
            <w:tcW w:w="81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162400</w:t>
            </w:r>
          </w:p>
        </w:tc>
      </w:tr>
      <w:tr>
        <w:tblPrEx>
          <w:tblCellMar>
            <w:top w:w="0" w:type="dxa"/>
            <w:left w:w="0" w:type="dxa"/>
            <w:bottom w:w="0" w:type="dxa"/>
            <w:right w:w="0" w:type="dxa"/>
          </w:tblCellMar>
        </w:tblPrEx>
        <w:trPr>
          <w:trHeight w:val="2899" w:hRule="atLeast"/>
        </w:trPr>
        <w:tc>
          <w:tcPr>
            <w:tcW w:w="453"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5</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智能化实训室增强型AP</w:t>
            </w:r>
          </w:p>
        </w:tc>
        <w:tc>
          <w:tcPr>
            <w:tcW w:w="9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H3C、HuaWei、ZTE</w:t>
            </w:r>
          </w:p>
        </w:tc>
        <w:tc>
          <w:tcPr>
            <w:tcW w:w="4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1.配置要求：内置天线三频十二流802.11ax/ac/n无线接入点-FIT。</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2.接入要求：要求单AP接入且正常并发交互量达100端及以上（以用户实际使用测试为准）。</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3.认证要求：单AP可设置认证方式，本次建设要求采用统一出口式认证模式。</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4.设备兼容IPV4、IPV6等模式。</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5.服务购置:原厂质保5年，月巡访服务。</w:t>
            </w:r>
          </w:p>
        </w:tc>
        <w:tc>
          <w:tcPr>
            <w:tcW w:w="501"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24</w:t>
            </w:r>
          </w:p>
        </w:tc>
        <w:tc>
          <w:tcPr>
            <w:tcW w:w="53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台</w:t>
            </w:r>
          </w:p>
        </w:tc>
        <w:tc>
          <w:tcPr>
            <w:tcW w:w="79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4700</w:t>
            </w:r>
          </w:p>
        </w:tc>
        <w:tc>
          <w:tcPr>
            <w:tcW w:w="81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112800</w:t>
            </w:r>
          </w:p>
        </w:tc>
      </w:tr>
      <w:tr>
        <w:tblPrEx>
          <w:tblCellMar>
            <w:top w:w="0" w:type="dxa"/>
            <w:left w:w="0" w:type="dxa"/>
            <w:bottom w:w="0" w:type="dxa"/>
            <w:right w:w="0" w:type="dxa"/>
          </w:tblCellMar>
        </w:tblPrEx>
        <w:trPr>
          <w:trHeight w:val="2880" w:hRule="atLeast"/>
        </w:trPr>
        <w:tc>
          <w:tcPr>
            <w:tcW w:w="453"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6</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室外AP</w:t>
            </w:r>
          </w:p>
        </w:tc>
        <w:tc>
          <w:tcPr>
            <w:tcW w:w="9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H3C、HuaWei、ZTE</w:t>
            </w:r>
          </w:p>
        </w:tc>
        <w:tc>
          <w:tcPr>
            <w:tcW w:w="4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1.配置要求：内置天线三频十二流802.11ax/ac/n无线接入点-FIT。</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2.接入要求：要求单AP接入且正常并发交互量达100端及以上（以用户实际使用测试为准）。</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3.认证要求：单AP可设置认证方式，本次建设要求采用统一出口式认证模式。</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4.设备兼容IPV4、IPV6等模式。</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5.服务购置:原厂质保6年，月巡访服务。</w:t>
            </w:r>
          </w:p>
        </w:tc>
        <w:tc>
          <w:tcPr>
            <w:tcW w:w="501"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2</w:t>
            </w:r>
          </w:p>
        </w:tc>
        <w:tc>
          <w:tcPr>
            <w:tcW w:w="53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台</w:t>
            </w:r>
          </w:p>
        </w:tc>
        <w:tc>
          <w:tcPr>
            <w:tcW w:w="79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10000</w:t>
            </w:r>
          </w:p>
        </w:tc>
        <w:tc>
          <w:tcPr>
            <w:tcW w:w="81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20000</w:t>
            </w:r>
          </w:p>
        </w:tc>
      </w:tr>
      <w:tr>
        <w:tblPrEx>
          <w:tblCellMar>
            <w:top w:w="0" w:type="dxa"/>
            <w:left w:w="0" w:type="dxa"/>
            <w:bottom w:w="0" w:type="dxa"/>
            <w:right w:w="0" w:type="dxa"/>
          </w:tblCellMar>
        </w:tblPrEx>
        <w:trPr>
          <w:trHeight w:val="2340" w:hRule="atLeast"/>
        </w:trPr>
        <w:tc>
          <w:tcPr>
            <w:tcW w:w="453"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7</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24口POE交换机</w:t>
            </w:r>
          </w:p>
        </w:tc>
        <w:tc>
          <w:tcPr>
            <w:tcW w:w="9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H3C、HuaWei、ZTE</w:t>
            </w:r>
          </w:p>
        </w:tc>
        <w:tc>
          <w:tcPr>
            <w:tcW w:w="4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1.设备类型：配置POE以太网交换机主机1台。</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2.电端口配置：支持24个10/100/1000BASE-T PoE+电口(AC 370W,DC 740W)。</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3.光端口配置：支持4个100/1000BASE-X SFP端口,支持4个GE Combo口,支持AC/DC。</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4.服务购置:原厂质保6年，月巡访服务。</w:t>
            </w:r>
          </w:p>
        </w:tc>
        <w:tc>
          <w:tcPr>
            <w:tcW w:w="501"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7</w:t>
            </w:r>
          </w:p>
        </w:tc>
        <w:tc>
          <w:tcPr>
            <w:tcW w:w="53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台</w:t>
            </w:r>
          </w:p>
        </w:tc>
        <w:tc>
          <w:tcPr>
            <w:tcW w:w="79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4500</w:t>
            </w:r>
          </w:p>
        </w:tc>
        <w:tc>
          <w:tcPr>
            <w:tcW w:w="81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31500</w:t>
            </w:r>
          </w:p>
        </w:tc>
      </w:tr>
      <w:tr>
        <w:tblPrEx>
          <w:tblCellMar>
            <w:top w:w="0" w:type="dxa"/>
            <w:left w:w="0" w:type="dxa"/>
            <w:bottom w:w="0" w:type="dxa"/>
            <w:right w:w="0" w:type="dxa"/>
          </w:tblCellMar>
        </w:tblPrEx>
        <w:trPr>
          <w:trHeight w:val="1680" w:hRule="atLeast"/>
        </w:trPr>
        <w:tc>
          <w:tcPr>
            <w:tcW w:w="453"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8</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原装单模光模块</w:t>
            </w:r>
          </w:p>
        </w:tc>
        <w:tc>
          <w:tcPr>
            <w:tcW w:w="9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H3C、HuaWei、ZTE</w:t>
            </w:r>
          </w:p>
        </w:tc>
        <w:tc>
          <w:tcPr>
            <w:tcW w:w="4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1.通信模块配置：每台交换主机配置光模块2个。</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2.规格：要求为，光模块-SFP-GE-单模模块-(1310nm,10km,LC)。</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3.质保3年及以上。</w:t>
            </w:r>
          </w:p>
        </w:tc>
        <w:tc>
          <w:tcPr>
            <w:tcW w:w="501"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14</w:t>
            </w:r>
          </w:p>
        </w:tc>
        <w:tc>
          <w:tcPr>
            <w:tcW w:w="53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颗</w:t>
            </w:r>
          </w:p>
        </w:tc>
        <w:tc>
          <w:tcPr>
            <w:tcW w:w="79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1000</w:t>
            </w:r>
          </w:p>
        </w:tc>
        <w:tc>
          <w:tcPr>
            <w:tcW w:w="81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14000</w:t>
            </w:r>
          </w:p>
        </w:tc>
      </w:tr>
      <w:tr>
        <w:tblPrEx>
          <w:tblCellMar>
            <w:top w:w="0" w:type="dxa"/>
            <w:left w:w="0" w:type="dxa"/>
            <w:bottom w:w="0" w:type="dxa"/>
            <w:right w:w="0" w:type="dxa"/>
          </w:tblCellMar>
        </w:tblPrEx>
        <w:trPr>
          <w:trHeight w:val="2502" w:hRule="atLeast"/>
        </w:trPr>
        <w:tc>
          <w:tcPr>
            <w:tcW w:w="453"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9</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无线管理终端一体机</w:t>
            </w:r>
          </w:p>
        </w:tc>
        <w:tc>
          <w:tcPr>
            <w:tcW w:w="9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H3C、HuaWei、ZTE</w:t>
            </w:r>
          </w:p>
        </w:tc>
        <w:tc>
          <w:tcPr>
            <w:tcW w:w="4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1.具备2K全面屏多屏协同功能。</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2.14英寸 2020新款；</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3.处理器：R7-4800H；</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4.内存16G；</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5.512G固态硬盘；</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6.机身灰色，含触屏功能。</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7.管理系统要求：实现无线维护的移动化，无线节点可视化。</w:t>
            </w:r>
          </w:p>
        </w:tc>
        <w:tc>
          <w:tcPr>
            <w:tcW w:w="501"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5</w:t>
            </w:r>
          </w:p>
        </w:tc>
        <w:tc>
          <w:tcPr>
            <w:tcW w:w="53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套</w:t>
            </w:r>
          </w:p>
        </w:tc>
        <w:tc>
          <w:tcPr>
            <w:tcW w:w="79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8000</w:t>
            </w:r>
          </w:p>
        </w:tc>
        <w:tc>
          <w:tcPr>
            <w:tcW w:w="81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40000</w:t>
            </w:r>
          </w:p>
        </w:tc>
      </w:tr>
      <w:tr>
        <w:tblPrEx>
          <w:tblCellMar>
            <w:top w:w="0" w:type="dxa"/>
            <w:left w:w="0" w:type="dxa"/>
            <w:bottom w:w="0" w:type="dxa"/>
            <w:right w:w="0" w:type="dxa"/>
          </w:tblCellMar>
        </w:tblPrEx>
        <w:trPr>
          <w:trHeight w:val="1980" w:hRule="atLeast"/>
        </w:trPr>
        <w:tc>
          <w:tcPr>
            <w:tcW w:w="453"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10</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48口千兆以太网电接口板</w:t>
            </w:r>
          </w:p>
        </w:tc>
        <w:tc>
          <w:tcPr>
            <w:tcW w:w="9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H3C、HuaWei、ZTE</w:t>
            </w:r>
          </w:p>
        </w:tc>
        <w:tc>
          <w:tcPr>
            <w:tcW w:w="4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1.设备类型：24口千兆以太网电接口板1块。</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2.电端口配置：24端口千兆以太网电接口模块(RJ45)(SA)。</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3.安装要求：兼容学校网络机房主控核心交换主机。</w:t>
            </w:r>
            <w:r>
              <w:rPr>
                <w:rFonts w:hint="eastAsia" w:asciiTheme="minorEastAsia" w:hAnsiTheme="minorEastAsia" w:eastAsiaTheme="minorEastAsia" w:cstheme="minorEastAsia"/>
                <w:color w:val="000000"/>
                <w:kern w:val="0"/>
                <w:lang w:bidi="ar"/>
              </w:rPr>
              <w:br w:type="textWrapping"/>
            </w:r>
            <w:r>
              <w:rPr>
                <w:rFonts w:hint="eastAsia" w:asciiTheme="minorEastAsia" w:hAnsiTheme="minorEastAsia" w:eastAsiaTheme="minorEastAsia" w:cstheme="minorEastAsia"/>
                <w:color w:val="000000"/>
                <w:kern w:val="0"/>
                <w:lang w:bidi="ar"/>
              </w:rPr>
              <w:t>4.服务购置:原厂质保7年，月巡访服务。</w:t>
            </w:r>
          </w:p>
        </w:tc>
        <w:tc>
          <w:tcPr>
            <w:tcW w:w="501"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w:t>
            </w:r>
          </w:p>
        </w:tc>
        <w:tc>
          <w:tcPr>
            <w:tcW w:w="53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块</w:t>
            </w:r>
          </w:p>
        </w:tc>
        <w:tc>
          <w:tcPr>
            <w:tcW w:w="79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16000</w:t>
            </w:r>
          </w:p>
        </w:tc>
        <w:tc>
          <w:tcPr>
            <w:tcW w:w="81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16000</w:t>
            </w:r>
          </w:p>
        </w:tc>
      </w:tr>
      <w:tr>
        <w:tblPrEx>
          <w:tblCellMar>
            <w:top w:w="0" w:type="dxa"/>
            <w:left w:w="0" w:type="dxa"/>
            <w:bottom w:w="0" w:type="dxa"/>
            <w:right w:w="0" w:type="dxa"/>
          </w:tblCellMar>
        </w:tblPrEx>
        <w:trPr>
          <w:trHeight w:val="499" w:hRule="atLeast"/>
        </w:trPr>
        <w:tc>
          <w:tcPr>
            <w:tcW w:w="8976" w:type="dxa"/>
            <w:gridSpan w:val="7"/>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　合计：</w:t>
            </w:r>
          </w:p>
        </w:tc>
        <w:tc>
          <w:tcPr>
            <w:tcW w:w="81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rPr>
            </w:pPr>
            <w:r>
              <w:rPr>
                <w:rFonts w:asciiTheme="minorEastAsia" w:hAnsiTheme="minorEastAsia" w:eastAsiaTheme="minorEastAsia" w:cstheme="minorEastAsia"/>
                <w:color w:val="000000"/>
              </w:rPr>
              <w:fldChar w:fldCharType="begin"/>
            </w:r>
            <w:r>
              <w:rPr>
                <w:rFonts w:asciiTheme="minorEastAsia" w:hAnsiTheme="minorEastAsia" w:eastAsiaTheme="minorEastAsia" w:cstheme="minorEastAsia"/>
                <w:color w:val="000000"/>
              </w:rPr>
              <w:instrText xml:space="preserve"> =SUM(ABOVE) </w:instrText>
            </w:r>
            <w:r>
              <w:rPr>
                <w:rFonts w:asciiTheme="minorEastAsia" w:hAnsiTheme="minorEastAsia" w:eastAsiaTheme="minorEastAsia" w:cstheme="minorEastAsia"/>
                <w:color w:val="000000"/>
              </w:rPr>
              <w:fldChar w:fldCharType="separate"/>
            </w:r>
            <w:r>
              <w:rPr>
                <w:rFonts w:asciiTheme="minorEastAsia" w:hAnsiTheme="minorEastAsia" w:eastAsiaTheme="minorEastAsia" w:cstheme="minorEastAsia"/>
                <w:color w:val="000000"/>
              </w:rPr>
              <w:t>702300</w:t>
            </w:r>
            <w:r>
              <w:rPr>
                <w:rFonts w:asciiTheme="minorEastAsia" w:hAnsiTheme="minorEastAsia" w:eastAsiaTheme="minorEastAsia" w:cstheme="minorEastAsia"/>
                <w:color w:val="000000"/>
              </w:rPr>
              <w:fldChar w:fldCharType="end"/>
            </w:r>
          </w:p>
        </w:tc>
      </w:tr>
    </w:tbl>
    <w:p>
      <w:pPr>
        <w:spacing w:before="156" w:beforeLines="50" w:after="156" w:afterLines="50" w:line="360" w:lineRule="auto"/>
        <w:rPr>
          <w:rFonts w:cs="宋体"/>
          <w:sz w:val="28"/>
          <w:szCs w:val="28"/>
        </w:rPr>
      </w:pPr>
      <w:r>
        <w:rPr>
          <w:rFonts w:hint="eastAsia" w:cs="宋体"/>
          <w:sz w:val="28"/>
          <w:szCs w:val="28"/>
        </w:rPr>
        <w:t>（三）软件购置及开发费用预算。</w:t>
      </w:r>
    </w:p>
    <w:p>
      <w:pPr>
        <w:spacing w:before="156" w:beforeLines="50" w:after="156" w:afterLines="50" w:line="360" w:lineRule="auto"/>
        <w:rPr>
          <w:rFonts w:hint="eastAsia" w:cs="宋体"/>
          <w:sz w:val="28"/>
          <w:szCs w:val="28"/>
        </w:rPr>
      </w:pPr>
      <w:r>
        <w:rPr>
          <w:rFonts w:hint="eastAsia" w:cs="宋体"/>
          <w:sz w:val="28"/>
          <w:szCs w:val="28"/>
        </w:rPr>
        <w:t>本项目不存在软件购置及开发费用。</w:t>
      </w:r>
    </w:p>
    <w:p>
      <w:pPr>
        <w:spacing w:before="156" w:beforeLines="50" w:after="156" w:afterLines="50" w:line="360" w:lineRule="auto"/>
        <w:rPr>
          <w:rFonts w:cs="宋体"/>
          <w:sz w:val="28"/>
          <w:szCs w:val="28"/>
        </w:rPr>
      </w:pPr>
      <w:r>
        <w:rPr>
          <w:rFonts w:hint="eastAsia" w:cs="宋体"/>
          <w:sz w:val="28"/>
          <w:szCs w:val="28"/>
        </w:rPr>
        <w:t>（四）配套工程建设费用预算</w:t>
      </w:r>
    </w:p>
    <w:p>
      <w:pPr>
        <w:spacing w:before="156" w:beforeLines="50" w:after="156" w:afterLines="50" w:line="360" w:lineRule="auto"/>
        <w:rPr>
          <w:rFonts w:cs="宋体"/>
          <w:sz w:val="28"/>
          <w:szCs w:val="28"/>
        </w:rPr>
      </w:pPr>
      <w:r>
        <w:rPr>
          <w:rFonts w:hint="eastAsia" w:cs="宋体"/>
          <w:sz w:val="28"/>
          <w:szCs w:val="28"/>
        </w:rPr>
        <w:t>因整体施工涉及的线材、管线、人工量较多，产生一定的系统及施工费用，根据项目详情，有明确的预算97700，具体编制如下。</w:t>
      </w:r>
    </w:p>
    <w:p>
      <w:pPr>
        <w:spacing w:before="156" w:beforeLines="50" w:after="156" w:afterLines="50" w:line="360" w:lineRule="auto"/>
        <w:rPr>
          <w:rFonts w:hint="eastAsia" w:cs="宋体"/>
          <w:sz w:val="28"/>
          <w:szCs w:val="28"/>
        </w:rPr>
      </w:pPr>
      <w:r>
        <w:rPr>
          <w:rFonts w:hint="eastAsia" w:cs="宋体"/>
          <w:sz w:val="28"/>
          <w:szCs w:val="28"/>
        </w:rPr>
        <w:t>1.双绞线：国标6类，规格为300米/箱，核算42箱（800*42=33600）。</w:t>
      </w:r>
      <w:r>
        <w:rPr>
          <w:rFonts w:hint="eastAsia" w:cs="宋体"/>
          <w:sz w:val="28"/>
          <w:szCs w:val="28"/>
        </w:rPr>
        <w:br w:type="textWrapping"/>
      </w:r>
      <w:r>
        <w:rPr>
          <w:rFonts w:hint="eastAsia" w:cs="宋体"/>
          <w:sz w:val="28"/>
          <w:szCs w:val="28"/>
        </w:rPr>
        <w:t>2.单模12芯光纤1300米：标准：YD/T769，ISO/IEC11801，ANSI/TIA -568-C.3²全截面阻水结构，12芯²护套，含光纤配线架、跳线、熔接等按项目包干（1500*10=15000）。</w:t>
      </w:r>
      <w:r>
        <w:rPr>
          <w:rFonts w:hint="eastAsia" w:cs="宋体"/>
          <w:sz w:val="28"/>
          <w:szCs w:val="28"/>
        </w:rPr>
        <w:br w:type="textWrapping"/>
      </w:r>
      <w:r>
        <w:rPr>
          <w:rFonts w:hint="eastAsia" w:cs="宋体"/>
          <w:sz w:val="28"/>
          <w:szCs w:val="28"/>
        </w:rPr>
        <w:t>3.网络材料：网络跳线200根、单模光纤尾纤40对，若超出根据项目包干（1600）。</w:t>
      </w:r>
      <w:r>
        <w:rPr>
          <w:rFonts w:hint="eastAsia" w:cs="宋体"/>
          <w:sz w:val="28"/>
          <w:szCs w:val="28"/>
        </w:rPr>
        <w:br w:type="textWrapping"/>
      </w:r>
      <w:r>
        <w:rPr>
          <w:rFonts w:hint="eastAsia" w:cs="宋体"/>
          <w:sz w:val="28"/>
          <w:szCs w:val="28"/>
        </w:rPr>
        <w:t>4.耗材：PVC管、电源线、插座、线盒、管卡、胶水、扎带、胶布等，根据项目包干（约2500)。</w:t>
      </w:r>
      <w:r>
        <w:rPr>
          <w:rFonts w:hint="eastAsia" w:cs="宋体"/>
          <w:sz w:val="28"/>
          <w:szCs w:val="28"/>
        </w:rPr>
        <w:br w:type="textWrapping"/>
      </w:r>
      <w:r>
        <w:rPr>
          <w:rFonts w:hint="eastAsia" w:cs="宋体"/>
          <w:sz w:val="28"/>
          <w:szCs w:val="28"/>
        </w:rPr>
        <w:t>5.施工费用：要求与原校区无线网络进行融合，按需要互联的设备总价5%进行预算（约20000）。</w:t>
      </w:r>
      <w:r>
        <w:rPr>
          <w:rFonts w:hint="eastAsia" w:cs="宋体"/>
          <w:sz w:val="28"/>
          <w:szCs w:val="28"/>
        </w:rPr>
        <w:br w:type="textWrapping"/>
      </w:r>
      <w:r>
        <w:rPr>
          <w:rFonts w:hint="eastAsia" w:cs="宋体"/>
          <w:sz w:val="28"/>
          <w:szCs w:val="28"/>
        </w:rPr>
        <w:t>6.驻点服务：项目实施完成，实现新旧校区网络无线融合施工完成后6个月，要求驻点服务，提供驻场人员身份证号、联系方式等信息，按学校员工工作日作息，服从项目负责部门工作安排（25000）。</w:t>
      </w:r>
    </w:p>
    <w:p>
      <w:pPr>
        <w:spacing w:before="156" w:beforeLines="50" w:after="156" w:afterLines="50" w:line="360" w:lineRule="auto"/>
        <w:rPr>
          <w:rFonts w:cs="宋体"/>
          <w:sz w:val="28"/>
          <w:szCs w:val="28"/>
        </w:rPr>
      </w:pPr>
      <w:r>
        <w:rPr>
          <w:rFonts w:hint="eastAsia" w:cs="宋体"/>
          <w:sz w:val="28"/>
          <w:szCs w:val="28"/>
        </w:rPr>
        <w:t>（五）相关其他费用预算</w:t>
      </w:r>
    </w:p>
    <w:p>
      <w:pPr>
        <w:spacing w:before="156" w:beforeLines="50" w:after="156" w:afterLines="50" w:line="360" w:lineRule="auto"/>
        <w:ind w:firstLine="565" w:firstLineChars="202"/>
        <w:rPr>
          <w:rFonts w:hint="eastAsia" w:cs="宋体"/>
          <w:sz w:val="28"/>
          <w:szCs w:val="28"/>
        </w:rPr>
      </w:pPr>
      <w:r>
        <w:rPr>
          <w:rFonts w:hint="eastAsia" w:cs="宋体"/>
          <w:sz w:val="28"/>
          <w:szCs w:val="28"/>
        </w:rPr>
        <w:t xml:space="preserve">无监理费、安全测评费等。 </w:t>
      </w:r>
    </w:p>
    <w:p>
      <w:pPr>
        <w:spacing w:before="156" w:beforeLines="50" w:after="156" w:afterLines="50" w:line="360" w:lineRule="auto"/>
        <w:rPr>
          <w:rFonts w:cs="宋体"/>
          <w:sz w:val="28"/>
          <w:szCs w:val="28"/>
        </w:rPr>
      </w:pPr>
      <w:r>
        <w:rPr>
          <w:rFonts w:hint="eastAsia" w:cs="宋体"/>
          <w:sz w:val="28"/>
          <w:szCs w:val="28"/>
        </w:rPr>
        <w:t>（六）项目需申请政务云资源的，请明确云主机、云数据库、云存储、云安全等政务云平台资源等需求。</w:t>
      </w:r>
    </w:p>
    <w:p>
      <w:pPr>
        <w:spacing w:before="156" w:beforeLines="50" w:after="156" w:afterLines="50" w:line="360" w:lineRule="auto"/>
        <w:ind w:firstLine="546" w:firstLineChars="195"/>
        <w:rPr>
          <w:rFonts w:hint="eastAsia" w:cs="宋体"/>
          <w:sz w:val="28"/>
          <w:szCs w:val="28"/>
        </w:rPr>
      </w:pPr>
      <w:r>
        <w:rPr>
          <w:rFonts w:hint="eastAsia" w:cs="宋体"/>
          <w:sz w:val="28"/>
          <w:szCs w:val="28"/>
        </w:rPr>
        <w:t>本项目无申请政务云资源的需求。</w:t>
      </w:r>
    </w:p>
    <w:p>
      <w:pPr>
        <w:spacing w:before="156" w:beforeLines="50" w:after="156" w:afterLines="50" w:line="360" w:lineRule="auto"/>
        <w:rPr>
          <w:rFonts w:hint="eastAsia" w:cs="Times New Roman"/>
          <w:sz w:val="28"/>
          <w:szCs w:val="28"/>
        </w:rPr>
      </w:pPr>
    </w:p>
    <w:p>
      <w:pPr>
        <w:spacing w:before="156" w:beforeLines="50" w:after="156" w:afterLines="50" w:line="360" w:lineRule="auto"/>
        <w:rPr>
          <w:rFonts w:hint="eastAsia" w:cs="Times New Roman"/>
          <w:sz w:val="28"/>
          <w:szCs w:val="28"/>
        </w:rPr>
      </w:pPr>
      <w:r>
        <w:rPr>
          <w:rFonts w:hint="eastAsia" w:cs="Times New Roman"/>
          <w:sz w:val="28"/>
          <w:szCs w:val="28"/>
        </w:rPr>
        <w:t>附：</w:t>
      </w:r>
    </w:p>
    <w:p>
      <w:pPr>
        <w:numPr>
          <w:ilvl w:val="0"/>
          <w:numId w:val="5"/>
        </w:numPr>
        <w:spacing w:before="156" w:beforeLines="50" w:after="156" w:afterLines="50" w:line="360" w:lineRule="auto"/>
        <w:rPr>
          <w:rFonts w:hint="default" w:eastAsia="宋体" w:cs="Times New Roman"/>
          <w:sz w:val="28"/>
          <w:szCs w:val="28"/>
          <w:lang w:val="en-US" w:eastAsia="zh-CN"/>
        </w:rPr>
      </w:pPr>
      <w:r>
        <w:rPr>
          <w:rFonts w:hint="eastAsia" w:cs="Times New Roman"/>
          <w:sz w:val="28"/>
          <w:szCs w:val="28"/>
          <w:lang w:val="en-US" w:eastAsia="zh-CN"/>
        </w:rPr>
        <w:t>建设单位内部研讨纪要。</w:t>
      </w:r>
    </w:p>
    <w:p>
      <w:pPr>
        <w:numPr>
          <w:ilvl w:val="0"/>
          <w:numId w:val="0"/>
        </w:numPr>
        <w:spacing w:before="156" w:beforeLines="50" w:after="156" w:afterLines="50" w:line="360" w:lineRule="auto"/>
        <w:rPr>
          <w:rFonts w:hint="default" w:eastAsia="宋体" w:cs="Times New Roman"/>
          <w:sz w:val="28"/>
          <w:szCs w:val="28"/>
          <w:lang w:val="en-US" w:eastAsia="zh-CN"/>
        </w:rPr>
      </w:pPr>
      <w:r>
        <w:rPr>
          <w:rFonts w:hint="default" w:eastAsia="宋体" w:cs="Times New Roman"/>
          <w:sz w:val="28"/>
          <w:szCs w:val="28"/>
          <w:lang w:val="en-US" w:eastAsia="zh-CN"/>
        </w:rPr>
        <w:drawing>
          <wp:inline distT="0" distB="0" distL="114300" distR="114300">
            <wp:extent cx="6117590" cy="8522335"/>
            <wp:effectExtent l="0" t="0" r="16510" b="12065"/>
            <wp:docPr id="4" name="图片 4" descr="绍兴市中等专业学校扩建校区无线网络设备购置项目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绍兴市中等专业学校扩建校区无线网络设备购置项目C"/>
                    <pic:cNvPicPr>
                      <a:picLocks noChangeAspect="1"/>
                    </pic:cNvPicPr>
                  </pic:nvPicPr>
                  <pic:blipFill>
                    <a:blip r:embed="rId5"/>
                    <a:stretch>
                      <a:fillRect/>
                    </a:stretch>
                  </pic:blipFill>
                  <pic:spPr>
                    <a:xfrm>
                      <a:off x="0" y="0"/>
                      <a:ext cx="6117590" cy="8522335"/>
                    </a:xfrm>
                    <a:prstGeom prst="rect">
                      <a:avLst/>
                    </a:prstGeom>
                  </pic:spPr>
                </pic:pic>
              </a:graphicData>
            </a:graphic>
          </wp:inline>
        </w:drawing>
      </w:r>
    </w:p>
    <w:p>
      <w:pPr>
        <w:numPr>
          <w:ilvl w:val="0"/>
          <w:numId w:val="2"/>
        </w:numPr>
        <w:spacing w:before="156" w:beforeLines="50" w:after="156" w:afterLines="50" w:line="360" w:lineRule="auto"/>
        <w:ind w:left="0" w:leftChars="0" w:firstLine="0" w:firstLineChars="0"/>
        <w:rPr>
          <w:rFonts w:hint="eastAsia" w:cs="Times New Roman"/>
          <w:sz w:val="28"/>
          <w:szCs w:val="28"/>
        </w:rPr>
      </w:pPr>
      <w:r>
        <w:rPr>
          <w:rFonts w:hint="eastAsia" w:cs="Times New Roman"/>
          <w:sz w:val="28"/>
          <w:szCs w:val="28"/>
        </w:rPr>
        <w:t>信息化专家论证材料。</w:t>
      </w:r>
    </w:p>
    <w:p>
      <w:pPr>
        <w:numPr>
          <w:ilvl w:val="0"/>
          <w:numId w:val="0"/>
        </w:numPr>
        <w:spacing w:before="156" w:beforeLines="50" w:after="156" w:afterLines="50" w:line="360" w:lineRule="auto"/>
        <w:ind w:leftChars="0"/>
        <w:rPr>
          <w:rFonts w:hint="eastAsia" w:eastAsia="宋体" w:cs="Times New Roman"/>
          <w:sz w:val="28"/>
          <w:szCs w:val="28"/>
          <w:lang w:eastAsia="zh-CN"/>
        </w:rPr>
      </w:pPr>
      <w:r>
        <w:rPr>
          <w:rFonts w:hint="eastAsia" w:eastAsia="宋体" w:cs="Times New Roman"/>
          <w:sz w:val="28"/>
          <w:szCs w:val="28"/>
          <w:lang w:eastAsia="zh-CN"/>
        </w:rPr>
        <w:drawing>
          <wp:inline distT="0" distB="0" distL="114300" distR="114300">
            <wp:extent cx="6115050" cy="8503285"/>
            <wp:effectExtent l="0" t="0" r="0" b="12065"/>
            <wp:docPr id="6" name="图片 6" descr="绍兴市中等专业学校扩建校区无线网络设备购置项目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绍兴市中等专业学校扩建校区无线网络设备购置项目A"/>
                    <pic:cNvPicPr>
                      <a:picLocks noChangeAspect="1"/>
                    </pic:cNvPicPr>
                  </pic:nvPicPr>
                  <pic:blipFill>
                    <a:blip r:embed="rId6"/>
                    <a:srcRect t="1587"/>
                    <a:stretch>
                      <a:fillRect/>
                    </a:stretch>
                  </pic:blipFill>
                  <pic:spPr>
                    <a:xfrm>
                      <a:off x="0" y="0"/>
                      <a:ext cx="6115050" cy="8503285"/>
                    </a:xfrm>
                    <a:prstGeom prst="rect">
                      <a:avLst/>
                    </a:prstGeom>
                  </pic:spPr>
                </pic:pic>
              </a:graphicData>
            </a:graphic>
          </wp:inline>
        </w:drawing>
      </w:r>
      <w:r>
        <w:rPr>
          <w:rFonts w:hint="eastAsia" w:eastAsia="宋体" w:cs="Times New Roman"/>
          <w:sz w:val="28"/>
          <w:szCs w:val="28"/>
          <w:lang w:eastAsia="zh-CN"/>
        </w:rPr>
        <w:drawing>
          <wp:inline distT="0" distB="0" distL="114300" distR="114300">
            <wp:extent cx="6115050" cy="8640445"/>
            <wp:effectExtent l="0" t="0" r="0" b="8255"/>
            <wp:docPr id="5" name="图片 5" descr="绍兴市中等专业学校扩建校区无线网络设备购置项目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绍兴市中等专业学校扩建校区无线网络设备购置项目B"/>
                    <pic:cNvPicPr>
                      <a:picLocks noChangeAspect="1"/>
                    </pic:cNvPicPr>
                  </pic:nvPicPr>
                  <pic:blipFill>
                    <a:blip r:embed="rId7"/>
                    <a:stretch>
                      <a:fillRect/>
                    </a:stretch>
                  </pic:blipFill>
                  <pic:spPr>
                    <a:xfrm>
                      <a:off x="0" y="0"/>
                      <a:ext cx="6115050" cy="8640445"/>
                    </a:xfrm>
                    <a:prstGeom prst="rect">
                      <a:avLst/>
                    </a:prstGeom>
                  </pic:spPr>
                </pic:pic>
              </a:graphicData>
            </a:graphic>
          </wp:inline>
        </w:drawing>
      </w:r>
      <w:bookmarkStart w:id="0" w:name="_GoBack"/>
      <w:bookmarkEnd w:id="0"/>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fldChar w:fldCharType="begin"/>
    </w:r>
    <w:r>
      <w:instrText xml:space="preserve">PAGE   \* MERGEFORMAT</w:instrText>
    </w:r>
    <w:r>
      <w:fldChar w:fldCharType="separate"/>
    </w:r>
    <w:r>
      <w:rPr>
        <w:lang w:val="zh-CN"/>
      </w:rPr>
      <w:t>14</w:t>
    </w:r>
    <w: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72ED97"/>
    <w:multiLevelType w:val="singleLevel"/>
    <w:tmpl w:val="AA72ED97"/>
    <w:lvl w:ilvl="0" w:tentative="0">
      <w:start w:val="1"/>
      <w:numFmt w:val="chineseCounting"/>
      <w:suff w:val="nothing"/>
      <w:lvlText w:val="（%1）"/>
      <w:lvlJc w:val="left"/>
      <w:rPr>
        <w:rFonts w:hint="eastAsia"/>
      </w:rPr>
    </w:lvl>
  </w:abstractNum>
  <w:abstractNum w:abstractNumId="1">
    <w:nsid w:val="D635A8C4"/>
    <w:multiLevelType w:val="singleLevel"/>
    <w:tmpl w:val="D635A8C4"/>
    <w:lvl w:ilvl="0" w:tentative="0">
      <w:start w:val="1"/>
      <w:numFmt w:val="decimal"/>
      <w:suff w:val="space"/>
      <w:lvlText w:val="%1."/>
      <w:lvlJc w:val="left"/>
    </w:lvl>
  </w:abstractNum>
  <w:abstractNum w:abstractNumId="2">
    <w:nsid w:val="52418CF0"/>
    <w:multiLevelType w:val="singleLevel"/>
    <w:tmpl w:val="52418CF0"/>
    <w:lvl w:ilvl="0" w:tentative="0">
      <w:start w:val="2"/>
      <w:numFmt w:val="chineseCounting"/>
      <w:suff w:val="nothing"/>
      <w:lvlText w:val="（%1）"/>
      <w:lvlJc w:val="left"/>
      <w:rPr>
        <w:rFonts w:hint="eastAsia"/>
      </w:rPr>
    </w:lvl>
  </w:abstractNum>
  <w:abstractNum w:abstractNumId="3">
    <w:nsid w:val="5533A0DD"/>
    <w:multiLevelType w:val="singleLevel"/>
    <w:tmpl w:val="5533A0DD"/>
    <w:lvl w:ilvl="0" w:tentative="0">
      <w:start w:val="1"/>
      <w:numFmt w:val="decimal"/>
      <w:suff w:val="space"/>
      <w:lvlText w:val="%1."/>
      <w:lvlJc w:val="left"/>
    </w:lvl>
  </w:abstractNum>
  <w:abstractNum w:abstractNumId="4">
    <w:nsid w:val="6FCF3CC5"/>
    <w:multiLevelType w:val="singleLevel"/>
    <w:tmpl w:val="6FCF3CC5"/>
    <w:lvl w:ilvl="0" w:tentative="0">
      <w:start w:val="1"/>
      <w:numFmt w:val="decimal"/>
      <w:suff w:val="space"/>
      <w:lvlText w:val="%1."/>
      <w:lvlJc w:val="left"/>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doNotTrackMove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5312"/>
    <w:rsid w:val="0001721E"/>
    <w:rsid w:val="00044727"/>
    <w:rsid w:val="00045C7A"/>
    <w:rsid w:val="000505E3"/>
    <w:rsid w:val="000555CE"/>
    <w:rsid w:val="00065571"/>
    <w:rsid w:val="00073F57"/>
    <w:rsid w:val="00084D32"/>
    <w:rsid w:val="00085874"/>
    <w:rsid w:val="00087FA7"/>
    <w:rsid w:val="000B2CDB"/>
    <w:rsid w:val="000B3C16"/>
    <w:rsid w:val="000B61E0"/>
    <w:rsid w:val="000C7438"/>
    <w:rsid w:val="000D7D7C"/>
    <w:rsid w:val="0010516B"/>
    <w:rsid w:val="00107209"/>
    <w:rsid w:val="001110B2"/>
    <w:rsid w:val="001159B2"/>
    <w:rsid w:val="00115C5F"/>
    <w:rsid w:val="00117147"/>
    <w:rsid w:val="00124E40"/>
    <w:rsid w:val="0014083E"/>
    <w:rsid w:val="0015010D"/>
    <w:rsid w:val="00151AC3"/>
    <w:rsid w:val="00153DF3"/>
    <w:rsid w:val="0016001A"/>
    <w:rsid w:val="00172A27"/>
    <w:rsid w:val="001746C0"/>
    <w:rsid w:val="001855C4"/>
    <w:rsid w:val="001A6DA9"/>
    <w:rsid w:val="001B39AB"/>
    <w:rsid w:val="001C5C9B"/>
    <w:rsid w:val="001F3ABF"/>
    <w:rsid w:val="0020326E"/>
    <w:rsid w:val="00212566"/>
    <w:rsid w:val="002569FE"/>
    <w:rsid w:val="00270402"/>
    <w:rsid w:val="00272C6E"/>
    <w:rsid w:val="002961DA"/>
    <w:rsid w:val="002A02E8"/>
    <w:rsid w:val="002A59AF"/>
    <w:rsid w:val="002B721C"/>
    <w:rsid w:val="002C01E7"/>
    <w:rsid w:val="002E207D"/>
    <w:rsid w:val="002E6670"/>
    <w:rsid w:val="003048B0"/>
    <w:rsid w:val="00332CDC"/>
    <w:rsid w:val="00346B98"/>
    <w:rsid w:val="003701BA"/>
    <w:rsid w:val="0038075E"/>
    <w:rsid w:val="003B57C9"/>
    <w:rsid w:val="003E6438"/>
    <w:rsid w:val="003F5510"/>
    <w:rsid w:val="003F5C71"/>
    <w:rsid w:val="00403B9A"/>
    <w:rsid w:val="00415F38"/>
    <w:rsid w:val="00427E00"/>
    <w:rsid w:val="00431F01"/>
    <w:rsid w:val="00447340"/>
    <w:rsid w:val="004645F1"/>
    <w:rsid w:val="004970E2"/>
    <w:rsid w:val="004A3365"/>
    <w:rsid w:val="004A40EC"/>
    <w:rsid w:val="004E2612"/>
    <w:rsid w:val="004E751D"/>
    <w:rsid w:val="00514073"/>
    <w:rsid w:val="00516D72"/>
    <w:rsid w:val="00522BDF"/>
    <w:rsid w:val="0053038B"/>
    <w:rsid w:val="0053442B"/>
    <w:rsid w:val="00547D8E"/>
    <w:rsid w:val="005509E7"/>
    <w:rsid w:val="00566590"/>
    <w:rsid w:val="005669CA"/>
    <w:rsid w:val="005936AE"/>
    <w:rsid w:val="005949C2"/>
    <w:rsid w:val="005A0B5C"/>
    <w:rsid w:val="005C20BD"/>
    <w:rsid w:val="005C2E2D"/>
    <w:rsid w:val="005D4451"/>
    <w:rsid w:val="005E260D"/>
    <w:rsid w:val="005F4B7C"/>
    <w:rsid w:val="00600C0C"/>
    <w:rsid w:val="00602162"/>
    <w:rsid w:val="00605D9E"/>
    <w:rsid w:val="00605FB1"/>
    <w:rsid w:val="00611927"/>
    <w:rsid w:val="0065017D"/>
    <w:rsid w:val="006615F2"/>
    <w:rsid w:val="006704BB"/>
    <w:rsid w:val="006A366A"/>
    <w:rsid w:val="006A76D1"/>
    <w:rsid w:val="006B7315"/>
    <w:rsid w:val="006C2065"/>
    <w:rsid w:val="006C5E09"/>
    <w:rsid w:val="006E52FA"/>
    <w:rsid w:val="006F3353"/>
    <w:rsid w:val="00701D30"/>
    <w:rsid w:val="00715680"/>
    <w:rsid w:val="007173E2"/>
    <w:rsid w:val="007545F9"/>
    <w:rsid w:val="00757446"/>
    <w:rsid w:val="00764D44"/>
    <w:rsid w:val="00764D75"/>
    <w:rsid w:val="00771B06"/>
    <w:rsid w:val="00775035"/>
    <w:rsid w:val="00775287"/>
    <w:rsid w:val="007A05DA"/>
    <w:rsid w:val="007C72B4"/>
    <w:rsid w:val="007D476D"/>
    <w:rsid w:val="007E1897"/>
    <w:rsid w:val="007E5D80"/>
    <w:rsid w:val="007F27FC"/>
    <w:rsid w:val="008036DA"/>
    <w:rsid w:val="008113C0"/>
    <w:rsid w:val="00813293"/>
    <w:rsid w:val="00831D32"/>
    <w:rsid w:val="00835F06"/>
    <w:rsid w:val="00847A63"/>
    <w:rsid w:val="00862591"/>
    <w:rsid w:val="00887F24"/>
    <w:rsid w:val="008918F0"/>
    <w:rsid w:val="008A46AD"/>
    <w:rsid w:val="008B1B5B"/>
    <w:rsid w:val="008C3AF7"/>
    <w:rsid w:val="008D16EC"/>
    <w:rsid w:val="008F155F"/>
    <w:rsid w:val="009172FE"/>
    <w:rsid w:val="009351E2"/>
    <w:rsid w:val="00942097"/>
    <w:rsid w:val="00971440"/>
    <w:rsid w:val="009740AF"/>
    <w:rsid w:val="009830A8"/>
    <w:rsid w:val="00987209"/>
    <w:rsid w:val="009949F3"/>
    <w:rsid w:val="0099555C"/>
    <w:rsid w:val="009A447F"/>
    <w:rsid w:val="009C11BE"/>
    <w:rsid w:val="009F0C3A"/>
    <w:rsid w:val="00A27A36"/>
    <w:rsid w:val="00A41A14"/>
    <w:rsid w:val="00A443A1"/>
    <w:rsid w:val="00A51A51"/>
    <w:rsid w:val="00A612FF"/>
    <w:rsid w:val="00A72261"/>
    <w:rsid w:val="00A7353E"/>
    <w:rsid w:val="00A819C6"/>
    <w:rsid w:val="00A85797"/>
    <w:rsid w:val="00A875CE"/>
    <w:rsid w:val="00AA6075"/>
    <w:rsid w:val="00AB2044"/>
    <w:rsid w:val="00AB31C1"/>
    <w:rsid w:val="00AB509E"/>
    <w:rsid w:val="00B04E7E"/>
    <w:rsid w:val="00B14952"/>
    <w:rsid w:val="00B150C1"/>
    <w:rsid w:val="00B22F38"/>
    <w:rsid w:val="00B24BCE"/>
    <w:rsid w:val="00B33D7B"/>
    <w:rsid w:val="00B60AB0"/>
    <w:rsid w:val="00B647FB"/>
    <w:rsid w:val="00B67A24"/>
    <w:rsid w:val="00B80159"/>
    <w:rsid w:val="00BA40C4"/>
    <w:rsid w:val="00BA5BC7"/>
    <w:rsid w:val="00BB3356"/>
    <w:rsid w:val="00BF5EA2"/>
    <w:rsid w:val="00C07DE7"/>
    <w:rsid w:val="00C122FA"/>
    <w:rsid w:val="00C14D2A"/>
    <w:rsid w:val="00C1525E"/>
    <w:rsid w:val="00C21AFE"/>
    <w:rsid w:val="00C24B81"/>
    <w:rsid w:val="00C331B5"/>
    <w:rsid w:val="00C6070C"/>
    <w:rsid w:val="00C767D5"/>
    <w:rsid w:val="00CD22D9"/>
    <w:rsid w:val="00D325A3"/>
    <w:rsid w:val="00D90215"/>
    <w:rsid w:val="00D90A9F"/>
    <w:rsid w:val="00DA066D"/>
    <w:rsid w:val="00DD08A1"/>
    <w:rsid w:val="00DD0910"/>
    <w:rsid w:val="00DD3DDD"/>
    <w:rsid w:val="00DF3631"/>
    <w:rsid w:val="00DF7471"/>
    <w:rsid w:val="00E0074C"/>
    <w:rsid w:val="00E31ABB"/>
    <w:rsid w:val="00E737D2"/>
    <w:rsid w:val="00E82BD4"/>
    <w:rsid w:val="00E878BC"/>
    <w:rsid w:val="00EA6015"/>
    <w:rsid w:val="00EB6BA8"/>
    <w:rsid w:val="00EC003B"/>
    <w:rsid w:val="00EF0BC9"/>
    <w:rsid w:val="00EF0C53"/>
    <w:rsid w:val="00EF37D4"/>
    <w:rsid w:val="00EF6D32"/>
    <w:rsid w:val="00F12594"/>
    <w:rsid w:val="00F35BE6"/>
    <w:rsid w:val="00F45F28"/>
    <w:rsid w:val="00F45FB2"/>
    <w:rsid w:val="00F518A9"/>
    <w:rsid w:val="00F634D3"/>
    <w:rsid w:val="00F9012A"/>
    <w:rsid w:val="00FC1443"/>
    <w:rsid w:val="00FD4F36"/>
    <w:rsid w:val="00FE0F6D"/>
    <w:rsid w:val="00FE5C06"/>
    <w:rsid w:val="00FE7140"/>
    <w:rsid w:val="0CE0127D"/>
    <w:rsid w:val="1118705B"/>
    <w:rsid w:val="122C67D2"/>
    <w:rsid w:val="18C54EF2"/>
    <w:rsid w:val="1D450165"/>
    <w:rsid w:val="262F54E8"/>
    <w:rsid w:val="2C0254BA"/>
    <w:rsid w:val="2E30300A"/>
    <w:rsid w:val="2EA216EE"/>
    <w:rsid w:val="35392A88"/>
    <w:rsid w:val="35AB3769"/>
    <w:rsid w:val="36742A8F"/>
    <w:rsid w:val="3EC22BA5"/>
    <w:rsid w:val="402D5CE8"/>
    <w:rsid w:val="452B577A"/>
    <w:rsid w:val="4D517BDA"/>
    <w:rsid w:val="518564E8"/>
    <w:rsid w:val="56DB3766"/>
    <w:rsid w:val="5A7F2A21"/>
    <w:rsid w:val="613724F0"/>
    <w:rsid w:val="63773F76"/>
    <w:rsid w:val="64BD74C9"/>
    <w:rsid w:val="65D242EA"/>
    <w:rsid w:val="65D73385"/>
    <w:rsid w:val="6FD706C8"/>
    <w:rsid w:val="7C0B7487"/>
    <w:rsid w:val="7E91221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qFormat/>
    <w:uiPriority w:val="99"/>
    <w:rPr>
      <w:color w:val="auto"/>
      <w:u w:val="single"/>
    </w:rPr>
  </w:style>
  <w:style w:type="paragraph" w:styleId="8">
    <w:name w:val="List Paragraph"/>
    <w:basedOn w:val="1"/>
    <w:qFormat/>
    <w:uiPriority w:val="34"/>
    <w:pPr>
      <w:ind w:firstLine="420" w:firstLineChars="200"/>
    </w:pPr>
  </w:style>
  <w:style w:type="character" w:customStyle="1" w:styleId="9">
    <w:name w:val="批注框文本 字符"/>
    <w:link w:val="2"/>
    <w:semiHidden/>
    <w:qFormat/>
    <w:locked/>
    <w:uiPriority w:val="99"/>
    <w:rPr>
      <w:rFonts w:ascii="Calibri" w:hAnsi="Calibri" w:eastAsia="宋体" w:cs="Calibri"/>
      <w:sz w:val="18"/>
      <w:szCs w:val="18"/>
    </w:rPr>
  </w:style>
  <w:style w:type="character" w:customStyle="1" w:styleId="10">
    <w:name w:val="页眉 字符"/>
    <w:link w:val="4"/>
    <w:qFormat/>
    <w:uiPriority w:val="99"/>
    <w:rPr>
      <w:rFonts w:cs="Calibri"/>
      <w:sz w:val="18"/>
      <w:szCs w:val="18"/>
    </w:rPr>
  </w:style>
  <w:style w:type="character" w:customStyle="1" w:styleId="11">
    <w:name w:val="页脚 字符"/>
    <w:link w:val="3"/>
    <w:qFormat/>
    <w:uiPriority w:val="99"/>
    <w:rPr>
      <w:rFonts w:cs="Calibri"/>
      <w:sz w:val="18"/>
      <w:szCs w:val="18"/>
    </w:rPr>
  </w:style>
  <w:style w:type="paragraph" w:customStyle="1" w:styleId="12">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微软正版用户</Company>
  <Pages>14</Pages>
  <Words>1248</Words>
  <Characters>7116</Characters>
  <Lines>59</Lines>
  <Paragraphs>16</Paragraphs>
  <TotalTime>10</TotalTime>
  <ScaleCrop>false</ScaleCrop>
  <LinksUpToDate>false</LinksUpToDate>
  <CharactersWithSpaces>8348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2018-06-06T14:30:00Z</dcterms:created>
  <dc:creator>微软正版用户</dc:creator>
  <cp:lastModifiedBy>玫瑰不是菜</cp:lastModifiedBy>
  <cp:lastPrinted>2017-10-30T08:17:00Z</cp:lastPrinted>
  <dcterms:modified xsi:type="dcterms:W3CDTF">2022-03-01T08:36:50Z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8DB8DF1BA7D14A619C9560DC7B4B7466</vt:lpwstr>
  </property>
</Properties>
</file>